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KlavuzTablo1Ak-Vurgu1"/>
        <w:tblW w:w="9360" w:type="dxa"/>
        <w:tblLook w:val="0000" w:firstRow="0" w:lastRow="0" w:firstColumn="0" w:lastColumn="0" w:noHBand="0" w:noVBand="0"/>
      </w:tblPr>
      <w:tblGrid>
        <w:gridCol w:w="6760"/>
        <w:gridCol w:w="1400"/>
        <w:gridCol w:w="1200"/>
      </w:tblGrid>
      <w:tr w:rsidR="00DA4EA1" w:rsidRPr="00995E00" w:rsidTr="00E20698">
        <w:tc>
          <w:tcPr>
            <w:tcW w:w="6760" w:type="dxa"/>
            <w:vMerge w:val="restart"/>
          </w:tcPr>
          <w:p w:rsidR="00DA4EA1" w:rsidRPr="00995E00" w:rsidRDefault="001B2950" w:rsidP="00E343CA">
            <w:pPr>
              <w:spacing w:after="60"/>
              <w:jc w:val="both"/>
              <w:rPr>
                <w:rFonts w:ascii="Palatino Linotype" w:hAnsi="Palatino Linotype" w:cs="Times New Roman"/>
              </w:rPr>
            </w:pPr>
            <w:r w:rsidRPr="00995E00">
              <w:rPr>
                <w:rFonts w:ascii="Palatino Linotype" w:hAnsi="Palatino Linotype" w:cs="Times New Roman"/>
                <w:b/>
                <w:bCs/>
                <w:sz w:val="20"/>
                <w:szCs w:val="20"/>
              </w:rPr>
              <w:t>İKTİSADİ VE İDARİ BİLİMLER FAKÜLTESİ</w:t>
            </w:r>
          </w:p>
          <w:p w:rsidR="00DA4EA1" w:rsidRPr="00995E00" w:rsidRDefault="00E343CA" w:rsidP="00E343CA">
            <w:pPr>
              <w:spacing w:after="60"/>
              <w:jc w:val="both"/>
              <w:rPr>
                <w:rFonts w:ascii="Palatino Linotype" w:hAnsi="Palatino Linotype" w:cs="Times New Roman"/>
              </w:rPr>
            </w:pPr>
            <w:r w:rsidRPr="00995E00">
              <w:rPr>
                <w:rFonts w:ascii="Palatino Linotype" w:hAnsi="Palatino Linotype" w:cs="Times New Roman"/>
                <w:b/>
                <w:bCs/>
                <w:sz w:val="20"/>
                <w:szCs w:val="20"/>
              </w:rPr>
              <w:t>SİYASET BİLİMİ VE KAMU YÖNETİMİ</w:t>
            </w:r>
            <w:r w:rsidR="001B2950" w:rsidRPr="00995E00">
              <w:rPr>
                <w:rFonts w:ascii="Palatino Linotype" w:hAnsi="Palatino Linotype" w:cs="Times New Roman"/>
                <w:b/>
                <w:bCs/>
                <w:sz w:val="20"/>
                <w:szCs w:val="20"/>
              </w:rPr>
              <w:t xml:space="preserve"> BÖLÜMÜ</w:t>
            </w:r>
          </w:p>
          <w:p w:rsidR="00DA4EA1" w:rsidRPr="00995E00" w:rsidRDefault="001B2950" w:rsidP="00E343CA">
            <w:pPr>
              <w:spacing w:after="60"/>
              <w:jc w:val="both"/>
              <w:rPr>
                <w:rFonts w:ascii="Palatino Linotype" w:hAnsi="Palatino Linotype" w:cs="Times New Roman"/>
              </w:rPr>
            </w:pPr>
            <w:r w:rsidRPr="00995E00">
              <w:rPr>
                <w:rFonts w:ascii="Palatino Linotype" w:hAnsi="Palatino Linotype" w:cs="Times New Roman"/>
                <w:b/>
                <w:bCs/>
              </w:rPr>
              <w:t>EĞİTİM-ÖĞRETİM KOMİSYONU</w:t>
            </w:r>
          </w:p>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b/>
                <w:bCs/>
              </w:rPr>
              <w:t>GÖREV TANIMI FORMU</w:t>
            </w:r>
          </w:p>
        </w:tc>
        <w:tc>
          <w:tcPr>
            <w:tcW w:w="140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sz w:val="16"/>
                <w:szCs w:val="16"/>
              </w:rPr>
              <w:t>Doküman No</w:t>
            </w:r>
          </w:p>
        </w:tc>
        <w:tc>
          <w:tcPr>
            <w:tcW w:w="1200" w:type="dxa"/>
          </w:tcPr>
          <w:p w:rsidR="00DA4EA1" w:rsidRPr="00995E00" w:rsidRDefault="00E343CA" w:rsidP="00E343CA">
            <w:pPr>
              <w:jc w:val="both"/>
              <w:rPr>
                <w:rFonts w:ascii="Palatino Linotype" w:hAnsi="Palatino Linotype" w:cs="Times New Roman"/>
              </w:rPr>
            </w:pPr>
            <w:r w:rsidRPr="00995E00">
              <w:rPr>
                <w:rFonts w:ascii="Palatino Linotype" w:hAnsi="Palatino Linotype" w:cs="Times New Roman"/>
                <w:sz w:val="16"/>
                <w:szCs w:val="16"/>
              </w:rPr>
              <w:t>SBKY</w:t>
            </w:r>
            <w:r w:rsidR="001B2950" w:rsidRPr="00995E00">
              <w:rPr>
                <w:rFonts w:ascii="Palatino Linotype" w:hAnsi="Palatino Linotype" w:cs="Times New Roman"/>
                <w:sz w:val="16"/>
                <w:szCs w:val="16"/>
              </w:rPr>
              <w:t>-GT-002</w:t>
            </w:r>
          </w:p>
        </w:tc>
      </w:tr>
      <w:tr w:rsidR="00DA4EA1" w:rsidRPr="00995E00" w:rsidTr="00E20698">
        <w:tc>
          <w:tcPr>
            <w:tcW w:w="0" w:type="auto"/>
            <w:vMerge/>
          </w:tcPr>
          <w:p w:rsidR="00DA4EA1" w:rsidRPr="00995E00" w:rsidRDefault="00DA4EA1" w:rsidP="00E343CA">
            <w:pPr>
              <w:jc w:val="both"/>
              <w:rPr>
                <w:rFonts w:ascii="Palatino Linotype" w:hAnsi="Palatino Linotype" w:cs="Times New Roman"/>
              </w:rPr>
            </w:pPr>
          </w:p>
        </w:tc>
        <w:tc>
          <w:tcPr>
            <w:tcW w:w="140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sz w:val="16"/>
                <w:szCs w:val="16"/>
              </w:rPr>
              <w:t>İlk yayın tarihi</w:t>
            </w:r>
          </w:p>
        </w:tc>
        <w:tc>
          <w:tcPr>
            <w:tcW w:w="1200" w:type="dxa"/>
          </w:tcPr>
          <w:p w:rsidR="00DA4EA1" w:rsidRPr="00995E00" w:rsidRDefault="00E343CA" w:rsidP="00E343CA">
            <w:pPr>
              <w:jc w:val="both"/>
              <w:rPr>
                <w:rFonts w:ascii="Palatino Linotype" w:hAnsi="Palatino Linotype" w:cs="Times New Roman"/>
              </w:rPr>
            </w:pPr>
            <w:r w:rsidRPr="00995E00">
              <w:rPr>
                <w:rFonts w:ascii="Palatino Linotype" w:hAnsi="Palatino Linotype" w:cs="Times New Roman"/>
                <w:sz w:val="16"/>
                <w:szCs w:val="16"/>
              </w:rPr>
              <w:t>13</w:t>
            </w:r>
            <w:r w:rsidR="001B2950" w:rsidRPr="00995E00">
              <w:rPr>
                <w:rFonts w:ascii="Palatino Linotype" w:hAnsi="Palatino Linotype" w:cs="Times New Roman"/>
                <w:sz w:val="16"/>
                <w:szCs w:val="16"/>
              </w:rPr>
              <w:t>.05.2026</w:t>
            </w:r>
          </w:p>
        </w:tc>
      </w:tr>
      <w:tr w:rsidR="00DA4EA1" w:rsidRPr="00995E00" w:rsidTr="00E20698">
        <w:tc>
          <w:tcPr>
            <w:tcW w:w="0" w:type="auto"/>
            <w:vMerge/>
          </w:tcPr>
          <w:p w:rsidR="00DA4EA1" w:rsidRPr="00995E00" w:rsidRDefault="00DA4EA1" w:rsidP="00E343CA">
            <w:pPr>
              <w:jc w:val="both"/>
              <w:rPr>
                <w:rFonts w:ascii="Palatino Linotype" w:hAnsi="Palatino Linotype" w:cs="Times New Roman"/>
              </w:rPr>
            </w:pPr>
          </w:p>
        </w:tc>
        <w:tc>
          <w:tcPr>
            <w:tcW w:w="1400" w:type="dxa"/>
          </w:tcPr>
          <w:p w:rsidR="00DA4EA1" w:rsidRPr="00995E00" w:rsidRDefault="001B2950" w:rsidP="00E343CA">
            <w:pPr>
              <w:jc w:val="both"/>
              <w:rPr>
                <w:rFonts w:ascii="Palatino Linotype" w:hAnsi="Palatino Linotype" w:cs="Times New Roman"/>
              </w:rPr>
            </w:pPr>
            <w:proofErr w:type="spellStart"/>
            <w:r w:rsidRPr="00995E00">
              <w:rPr>
                <w:rFonts w:ascii="Palatino Linotype" w:hAnsi="Palatino Linotype" w:cs="Times New Roman"/>
                <w:sz w:val="16"/>
                <w:szCs w:val="16"/>
              </w:rPr>
              <w:t>Rev</w:t>
            </w:r>
            <w:proofErr w:type="spellEnd"/>
            <w:r w:rsidRPr="00995E00">
              <w:rPr>
                <w:rFonts w:ascii="Palatino Linotype" w:hAnsi="Palatino Linotype" w:cs="Times New Roman"/>
                <w:sz w:val="16"/>
                <w:szCs w:val="16"/>
              </w:rPr>
              <w:t>. No / Tarih</w:t>
            </w:r>
          </w:p>
        </w:tc>
        <w:tc>
          <w:tcPr>
            <w:tcW w:w="1200" w:type="dxa"/>
          </w:tcPr>
          <w:p w:rsidR="00DA4EA1" w:rsidRPr="00995E00" w:rsidRDefault="00DA4EA1" w:rsidP="00E343CA">
            <w:pPr>
              <w:jc w:val="both"/>
              <w:rPr>
                <w:rFonts w:ascii="Palatino Linotype" w:hAnsi="Palatino Linotype" w:cs="Times New Roman"/>
              </w:rPr>
            </w:pPr>
          </w:p>
        </w:tc>
      </w:tr>
      <w:tr w:rsidR="00DA4EA1" w:rsidRPr="00995E00" w:rsidTr="00E20698">
        <w:tc>
          <w:tcPr>
            <w:tcW w:w="0" w:type="auto"/>
            <w:vMerge/>
          </w:tcPr>
          <w:p w:rsidR="00DA4EA1" w:rsidRPr="00995E00" w:rsidRDefault="00DA4EA1" w:rsidP="00E343CA">
            <w:pPr>
              <w:jc w:val="both"/>
              <w:rPr>
                <w:rFonts w:ascii="Palatino Linotype" w:hAnsi="Palatino Linotype" w:cs="Times New Roman"/>
              </w:rPr>
            </w:pPr>
          </w:p>
        </w:tc>
        <w:tc>
          <w:tcPr>
            <w:tcW w:w="140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sz w:val="16"/>
                <w:szCs w:val="16"/>
              </w:rPr>
              <w:t>Sayfa sayısı</w:t>
            </w:r>
          </w:p>
        </w:tc>
        <w:tc>
          <w:tcPr>
            <w:tcW w:w="120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sz w:val="16"/>
                <w:szCs w:val="16"/>
              </w:rPr>
              <w:t>1/1</w:t>
            </w:r>
          </w:p>
        </w:tc>
      </w:tr>
    </w:tbl>
    <w:p w:rsidR="00DA4EA1" w:rsidRPr="00995E00" w:rsidRDefault="00DA4EA1" w:rsidP="00E343CA">
      <w:pPr>
        <w:spacing w:before="200"/>
        <w:jc w:val="both"/>
        <w:rPr>
          <w:rFonts w:ascii="Palatino Linotype" w:hAnsi="Palatino Linotype" w:cs="Times New Roman"/>
        </w:rPr>
      </w:pPr>
    </w:p>
    <w:tbl>
      <w:tblPr>
        <w:tblStyle w:val="KlavuzTablo1Ak-Vurgu1"/>
        <w:tblW w:w="9360" w:type="dxa"/>
        <w:tblLook w:val="0000" w:firstRow="0" w:lastRow="0" w:firstColumn="0" w:lastColumn="0" w:noHBand="0" w:noVBand="0"/>
      </w:tblPr>
      <w:tblGrid>
        <w:gridCol w:w="9360"/>
      </w:tblGrid>
      <w:tr w:rsidR="00DA4EA1" w:rsidRPr="00995E00" w:rsidTr="00E20698">
        <w:tc>
          <w:tcPr>
            <w:tcW w:w="936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b/>
                <w:bCs/>
              </w:rPr>
              <w:t>Görev</w:t>
            </w:r>
          </w:p>
        </w:tc>
      </w:tr>
      <w:tr w:rsidR="00DA4EA1" w:rsidRPr="00995E00" w:rsidTr="00E20698">
        <w:tc>
          <w:tcPr>
            <w:tcW w:w="9360" w:type="dxa"/>
          </w:tcPr>
          <w:p w:rsidR="00DA4EA1" w:rsidRPr="00995E00" w:rsidRDefault="00E343CA" w:rsidP="00E343CA">
            <w:pPr>
              <w:spacing w:after="40"/>
              <w:jc w:val="both"/>
              <w:rPr>
                <w:rFonts w:ascii="Palatino Linotype" w:hAnsi="Palatino Linotype" w:cs="Times New Roman"/>
              </w:rPr>
            </w:pPr>
            <w:proofErr w:type="gramStart"/>
            <w:r w:rsidRPr="00995E00">
              <w:rPr>
                <w:rFonts w:ascii="Palatino Linotype" w:hAnsi="Palatino Linotype" w:cs="Times New Roman"/>
              </w:rPr>
              <w:t xml:space="preserve">Siyaset Bilimi ve Kamu Yönetimi Bölümü’nün müfredat geliştirme süreçlerini yürütmek; ders içeriklerinin güncel akademik gelişmeler, program çıktıları ve alanın ihtiyaçları doğrultusunda yenilenmesini sağlamak; öğretim yöntemlerinin niteliğini artırmaya yönelik çalışmalar yapmak; eğitim ihtiyaç analizleri çerçevesinde pedagojik gelişim faaliyetlerini koordine etmek ve eğitim-öğretim süreçlerinin bölümün stratejik plan hedefleriyle uyumlu biçimde yürütülmesini sağlamaktır. </w:t>
            </w:r>
            <w:proofErr w:type="gramEnd"/>
          </w:p>
        </w:tc>
      </w:tr>
      <w:tr w:rsidR="00DA4EA1" w:rsidRPr="00995E00" w:rsidTr="00E20698">
        <w:tc>
          <w:tcPr>
            <w:tcW w:w="936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b/>
                <w:bCs/>
              </w:rPr>
              <w:t>Üstü</w:t>
            </w:r>
          </w:p>
        </w:tc>
      </w:tr>
      <w:tr w:rsidR="00DA4EA1" w:rsidRPr="00995E00" w:rsidTr="00E20698">
        <w:tc>
          <w:tcPr>
            <w:tcW w:w="9360" w:type="dxa"/>
          </w:tcPr>
          <w:p w:rsidR="00DA4EA1" w:rsidRPr="00995E00" w:rsidRDefault="001B2950" w:rsidP="00E343CA">
            <w:pPr>
              <w:spacing w:after="40"/>
              <w:jc w:val="both"/>
              <w:rPr>
                <w:rFonts w:ascii="Palatino Linotype" w:hAnsi="Palatino Linotype" w:cs="Times New Roman"/>
              </w:rPr>
            </w:pPr>
            <w:r w:rsidRPr="00995E00">
              <w:rPr>
                <w:rFonts w:ascii="Palatino Linotype" w:hAnsi="Palatino Linotype" w:cs="Times New Roman"/>
              </w:rPr>
              <w:t>Bölüm Başkanı</w:t>
            </w:r>
          </w:p>
        </w:tc>
      </w:tr>
      <w:tr w:rsidR="00DA4EA1" w:rsidRPr="00995E00" w:rsidTr="00E20698">
        <w:tc>
          <w:tcPr>
            <w:tcW w:w="936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b/>
                <w:bCs/>
              </w:rPr>
              <w:t>Vekili</w:t>
            </w:r>
          </w:p>
        </w:tc>
      </w:tr>
      <w:tr w:rsidR="00DA4EA1" w:rsidRPr="00995E00" w:rsidTr="00E20698">
        <w:tc>
          <w:tcPr>
            <w:tcW w:w="9360" w:type="dxa"/>
          </w:tcPr>
          <w:p w:rsidR="00DA4EA1" w:rsidRPr="00995E00" w:rsidRDefault="001B2950" w:rsidP="00E343CA">
            <w:pPr>
              <w:spacing w:after="40"/>
              <w:jc w:val="both"/>
              <w:rPr>
                <w:rFonts w:ascii="Palatino Linotype" w:hAnsi="Palatino Linotype" w:cs="Times New Roman"/>
              </w:rPr>
            </w:pPr>
            <w:r w:rsidRPr="00995E00">
              <w:rPr>
                <w:rFonts w:ascii="Palatino Linotype" w:hAnsi="Palatino Linotype" w:cs="Times New Roman"/>
              </w:rPr>
              <w:t>Komisyon Başkanı</w:t>
            </w:r>
          </w:p>
        </w:tc>
      </w:tr>
      <w:tr w:rsidR="00DA4EA1" w:rsidRPr="00995E00" w:rsidTr="00E20698">
        <w:tc>
          <w:tcPr>
            <w:tcW w:w="936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b/>
                <w:bCs/>
              </w:rPr>
              <w:t>Nitelikler</w:t>
            </w:r>
          </w:p>
        </w:tc>
      </w:tr>
      <w:tr w:rsidR="00DA4EA1" w:rsidRPr="00995E00" w:rsidTr="00E20698">
        <w:tc>
          <w:tcPr>
            <w:tcW w:w="9360" w:type="dxa"/>
          </w:tcPr>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Görevin gerektirdiği ilgili mevzuat, yönetmelik ve yönergeler hakkında bilgi sahibi olmak.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Siyaset Bilimi ve Kamu Yönetimi alanının eğitim-öğretim süreçleri, müfredat tasarımı ve pedagojik yöntemleri konusunda yetkin olmak.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AKTS kredi sistemi, Bologna süreci, program çıktıları ve ders öğrenme kazanımları arasındaki uyum süreçlerine hâkim olmak.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Eğitim ihtiyaç analizi sonuçlarını değerlendirebilmek ve bu sonuçları bölüm müfredatının geliştirilmesine yansıtabilmek.</w:t>
            </w:r>
          </w:p>
          <w:p w:rsidR="00DA4EA1"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Ders içeriklerinin güncellenmesi, öğretim yöntemlerinin iyileştirilmesi ve eğitim-öğretim kalitesinin artırılmasına yönelik süreçleri takip edebilmek.</w:t>
            </w:r>
          </w:p>
        </w:tc>
      </w:tr>
      <w:tr w:rsidR="00DA4EA1" w:rsidRPr="00995E00" w:rsidTr="00E20698">
        <w:tc>
          <w:tcPr>
            <w:tcW w:w="936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b/>
                <w:bCs/>
              </w:rPr>
              <w:t>İlgili Mevzuat</w:t>
            </w:r>
          </w:p>
        </w:tc>
      </w:tr>
      <w:tr w:rsidR="00DA4EA1" w:rsidRPr="00995E00" w:rsidTr="00E20698">
        <w:tc>
          <w:tcPr>
            <w:tcW w:w="9360" w:type="dxa"/>
          </w:tcPr>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2547 Sayılı Yükseköğretim Kanunu</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Iğdır Üniversitesi Eğitim-Öğretim Yönetmeliği</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Bologna Süreci Kriterleri</w:t>
            </w:r>
          </w:p>
        </w:tc>
      </w:tr>
      <w:tr w:rsidR="00DA4EA1" w:rsidRPr="00995E00" w:rsidTr="00E20698">
        <w:tc>
          <w:tcPr>
            <w:tcW w:w="936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b/>
                <w:bCs/>
              </w:rPr>
              <w:t>Görev ve Sorumluluklar</w:t>
            </w:r>
          </w:p>
        </w:tc>
      </w:tr>
      <w:tr w:rsidR="00DA4EA1" w:rsidRPr="00995E00" w:rsidTr="00E20698">
        <w:tc>
          <w:tcPr>
            <w:tcW w:w="9360" w:type="dxa"/>
          </w:tcPr>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Müfredat geliştirme ve güncelleme çalışmalarını yürütmek.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Ders içeriklerinin güncelliğini ve program çıktılarıyla uyumunu denetlemek.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Program eğitim amaçları doğrultusunda ders planlarının etkinliğini değerlendirmek.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Öğretim yöntem ve tekniklerinin iyileştirilmesine yönelik öneriler geliştirmek.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Ders bilgi paketlerinin hazırlanmasını, güncellenmesini ve Bologna sürecine uygunluğunu koordine etmek.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Seçmeli ders havuzunu iş piyasası ihtiyaçları ve paydaş geri bildirimleri doğrultusunda değerlendirmek.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xml:space="preserve">● Çift </w:t>
            </w:r>
            <w:proofErr w:type="spellStart"/>
            <w:r w:rsidRPr="00995E00">
              <w:rPr>
                <w:rFonts w:ascii="Palatino Linotype" w:hAnsi="Palatino Linotype" w:cs="Times New Roman"/>
              </w:rPr>
              <w:t>Anadal</w:t>
            </w:r>
            <w:proofErr w:type="spellEnd"/>
            <w:r w:rsidRPr="00995E00">
              <w:rPr>
                <w:rFonts w:ascii="Palatino Linotype" w:hAnsi="Palatino Linotype" w:cs="Times New Roman"/>
              </w:rPr>
              <w:t xml:space="preserve"> ve </w:t>
            </w:r>
            <w:proofErr w:type="spellStart"/>
            <w:r w:rsidRPr="00995E00">
              <w:rPr>
                <w:rFonts w:ascii="Palatino Linotype" w:hAnsi="Palatino Linotype" w:cs="Times New Roman"/>
              </w:rPr>
              <w:t>Yandal</w:t>
            </w:r>
            <w:proofErr w:type="spellEnd"/>
            <w:r w:rsidRPr="00995E00">
              <w:rPr>
                <w:rFonts w:ascii="Palatino Linotype" w:hAnsi="Palatino Linotype" w:cs="Times New Roman"/>
              </w:rPr>
              <w:t xml:space="preserve"> programlarının müfredat uyumunu ve koordinasyonunu sağlamak.</w:t>
            </w:r>
            <w:bookmarkStart w:id="0" w:name="_GoBack"/>
            <w:bookmarkEnd w:id="0"/>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Eğitim-öğretim ile ilgili öğrenci taleplerini ve şikâyetlerini değerlendirmek.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Yeni ders açma, ders kaldırma ve ders birleştirme tekliflerini hazırlamak.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AKTS kredi yüklerinin dengeli dağılımını izlemek ve gerektiğinde revize etmek.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Derslerin öğrenme çıktılarının PÖÇ matrisleriyle tutarlılığını denetlemek.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Uzaktan eğitim ve karma eğitim modellerinin etkin uygulanmasına yönelik öneriler sunmak.</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xml:space="preserve">● Tüm ders bilgi paketlerini Bologna kriterlerine uygun biçimde güncellemek; hedef: 44 ders (Hedef </w:t>
            </w:r>
            <w:proofErr w:type="gramStart"/>
            <w:r w:rsidRPr="00995E00">
              <w:rPr>
                <w:rFonts w:ascii="Palatino Linotype" w:hAnsi="Palatino Linotype" w:cs="Times New Roman"/>
              </w:rPr>
              <w:t>1.3</w:t>
            </w:r>
            <w:proofErr w:type="gramEnd"/>
            <w:r w:rsidRPr="00995E00">
              <w:rPr>
                <w:rFonts w:ascii="Palatino Linotype" w:hAnsi="Palatino Linotype" w:cs="Times New Roman"/>
              </w:rPr>
              <w:t>, Nisan-Haziran 2026).</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Müfredata en az 3 yeni seçmeli ders ekleyerek programı güncellemek; davranışsal iktisat, döngüsel ekonomi ve sürdürülebilir kalkınma alanlarına odaklanmak (Hedef 1.3).</w:t>
            </w:r>
          </w:p>
          <w:p w:rsidR="00DA4EA1" w:rsidRPr="00995E00" w:rsidRDefault="001B2950" w:rsidP="00E343CA">
            <w:pPr>
              <w:spacing w:after="30"/>
              <w:ind w:left="360" w:hanging="200"/>
              <w:jc w:val="both"/>
              <w:rPr>
                <w:rFonts w:ascii="Palatino Linotype" w:hAnsi="Palatino Linotype" w:cs="Times New Roman"/>
              </w:rPr>
            </w:pPr>
            <w:r w:rsidRPr="00995E00">
              <w:rPr>
                <w:rFonts w:ascii="Palatino Linotype" w:hAnsi="Palatino Linotype" w:cs="Times New Roman"/>
              </w:rPr>
              <w:t>● Eğitim İhtiyaç Analizi sonuçlarına göre 'Etkili Öğretim Yöntemleri' ve 'Bologna/AKTS Uyumu' konularında öğretim üyelerine yönelik eğitim programları planlamak (ÇOK YÜKSEK öncelik).</w:t>
            </w:r>
          </w:p>
        </w:tc>
      </w:tr>
      <w:tr w:rsidR="00DA4EA1" w:rsidRPr="00995E00" w:rsidTr="00E20698">
        <w:tc>
          <w:tcPr>
            <w:tcW w:w="9360" w:type="dxa"/>
          </w:tcPr>
          <w:p w:rsidR="00DA4EA1" w:rsidRPr="00995E00" w:rsidRDefault="001B2950" w:rsidP="00E343CA">
            <w:pPr>
              <w:jc w:val="both"/>
              <w:rPr>
                <w:rFonts w:ascii="Palatino Linotype" w:hAnsi="Palatino Linotype" w:cs="Times New Roman"/>
              </w:rPr>
            </w:pPr>
            <w:r w:rsidRPr="00995E00">
              <w:rPr>
                <w:rFonts w:ascii="Palatino Linotype" w:hAnsi="Palatino Linotype" w:cs="Times New Roman"/>
                <w:b/>
                <w:bCs/>
              </w:rPr>
              <w:t>KYS Kapsamında Görev ve Sorumluluklar</w:t>
            </w:r>
          </w:p>
        </w:tc>
      </w:tr>
      <w:tr w:rsidR="00DA4EA1" w:rsidRPr="00995E00" w:rsidTr="00E20698">
        <w:tc>
          <w:tcPr>
            <w:tcW w:w="9360" w:type="dxa"/>
          </w:tcPr>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Siyaset Bilimi ve Kamu Yönetimi Bölümü’nün müfredat geliştirme ve güncelleme çalışmalarını yürütmek.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Ders içeriklerinin güncelliğini, akademik niteliğini ve program öğrenme çıktılarıyla uyumunu düzenli olarak değerlendirmek.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Program eğitim amaçları doğrultusunda ders planlarının bölümün akademik hedeflerine katkısını incelemek.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Öğretim yöntem ve tekniklerinin geliştirilmesine yönelik öneriler hazırlamak.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Ders bilgi paketlerinin hazırlanmasını, güncellenmesini ve Bologna süreci ile AKTS sistemine uygunluğunu koordine etmek.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lastRenderedPageBreak/>
              <w:t xml:space="preserve">● Seçmeli ders havuzunu Siyaset Bilimi ve Kamu Yönetimi alanındaki güncel akademik gelişmeler, kamu sektörü ihtiyaçları, mezun </w:t>
            </w:r>
            <w:proofErr w:type="gramStart"/>
            <w:r w:rsidRPr="00995E00">
              <w:rPr>
                <w:rFonts w:ascii="Palatino Linotype" w:hAnsi="Palatino Linotype" w:cs="Times New Roman"/>
              </w:rPr>
              <w:t>profili</w:t>
            </w:r>
            <w:proofErr w:type="gramEnd"/>
            <w:r w:rsidRPr="00995E00">
              <w:rPr>
                <w:rFonts w:ascii="Palatino Linotype" w:hAnsi="Palatino Linotype" w:cs="Times New Roman"/>
              </w:rPr>
              <w:t xml:space="preserve"> ve paydaş geri bildirimleri doğrultusunda değerlendirmek.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Eğitim-öğretim süreçlerine ilişkin öğrenci talep, öneri ve şikâyetlerini değerlendirmek; gerekli görülen iyileştirme önerilerini ilgili kurullara sunmak.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Yeni ders açılması, mevcut derslerin kaldırılması veya derslerin birleştirilmesine ilişkin teklifleri hazırlamak.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xml:space="preserve">● Derslerin AKTS kredi yüklerini, öğrenci iş yükü ve program dengesi açısından izlemek; gerekli durumlarda </w:t>
            </w:r>
            <w:proofErr w:type="gramStart"/>
            <w:r w:rsidRPr="00995E00">
              <w:rPr>
                <w:rFonts w:ascii="Palatino Linotype" w:hAnsi="Palatino Linotype" w:cs="Times New Roman"/>
              </w:rPr>
              <w:t>revizyon</w:t>
            </w:r>
            <w:proofErr w:type="gramEnd"/>
            <w:r w:rsidRPr="00995E00">
              <w:rPr>
                <w:rFonts w:ascii="Palatino Linotype" w:hAnsi="Palatino Linotype" w:cs="Times New Roman"/>
              </w:rPr>
              <w:t xml:space="preserve"> önerileri geliştirmek.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Ders öğrenme çıktılarının program öğrenme çıktıları matrisleriyle tutarlılığını kontrol etmek.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Yüz yüze, uzaktan ve karma eğitim modellerinin etkin uygulanmasına yönelik öneriler geliştirmek.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xml:space="preserve">● Bölümde yer alan ders bilgi paketlerinin Bologna </w:t>
            </w:r>
            <w:proofErr w:type="gramStart"/>
            <w:r w:rsidRPr="00995E00">
              <w:rPr>
                <w:rFonts w:ascii="Palatino Linotype" w:hAnsi="Palatino Linotype" w:cs="Times New Roman"/>
              </w:rPr>
              <w:t>kriterlerine</w:t>
            </w:r>
            <w:proofErr w:type="gramEnd"/>
            <w:r w:rsidRPr="00995E00">
              <w:rPr>
                <w:rFonts w:ascii="Palatino Linotype" w:hAnsi="Palatino Linotype" w:cs="Times New Roman"/>
              </w:rPr>
              <w:t xml:space="preserve"> uygun biçimde güncellenmesini sağlamak.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Müfredatı Siyaset Bilimi ve Kamu Yönetimi disiplininin güncel yönelimleri doğrultusunda güçlendirmek amacıyla yeni seçmeli ders önerileri hazırlamak.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Yeni seçmeli ders önerilerinde kamu politikası, yerel yönetimler, yönetişim, dijital devlet, siyasal iletişim, göç yönetimi, kriz yönetimi, insan hakları, karşılaştırmalı siyaset, kentleşme politikaları ve çağdaş siyasal kuram gibi bölümle doğrudan ilişkili alanlara öncelik vermek.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Eğitim İhtiyaç Analizi sonuçları doğrultusunda öğretim üyelerine yönelik pedagojik gelişim faaliyetlerini planlamak ve koordine etmek.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“Etkili Öğretim Yöntemleri”, “Bologna/AKTS Uyumu”, “Ders Öğrenme Kazanımı Hazırlama” ve “Program Çıktılarıyla Ders İçeriği Eşleştirme” gibi konularda bölüm içi eğitim ve bilgilendirme faaliyetleri düzenlemek.</w:t>
            </w:r>
          </w:p>
          <w:p w:rsidR="00E343CA"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Eğitim-öğretim süreçlerinin bölüm stratejik plan hedefleriyle uyumlu biçimde yürütülmesini sağlamak.</w:t>
            </w:r>
          </w:p>
          <w:p w:rsidR="00DA4EA1" w:rsidRPr="00995E00" w:rsidRDefault="00E343CA" w:rsidP="00E343CA">
            <w:pPr>
              <w:spacing w:after="30"/>
              <w:ind w:left="360" w:hanging="200"/>
              <w:jc w:val="both"/>
              <w:rPr>
                <w:rFonts w:ascii="Palatino Linotype" w:hAnsi="Palatino Linotype" w:cs="Times New Roman"/>
              </w:rPr>
            </w:pPr>
            <w:r w:rsidRPr="00995E00">
              <w:rPr>
                <w:rFonts w:ascii="Palatino Linotype" w:hAnsi="Palatino Linotype" w:cs="Times New Roman"/>
              </w:rPr>
              <w:t>● Müfredat, ders içerikleri, öğrenme çıktıları ve öğretim yöntemlerine ilişkin iyileştirme çalışmalarını raporlamak ve ilgili bölüm kurullarına sunmak.</w:t>
            </w:r>
          </w:p>
        </w:tc>
      </w:tr>
    </w:tbl>
    <w:p w:rsidR="00DA4EA1" w:rsidRPr="00995E00" w:rsidRDefault="00DA4EA1" w:rsidP="00E343CA">
      <w:pPr>
        <w:spacing w:before="300"/>
        <w:jc w:val="both"/>
        <w:rPr>
          <w:rFonts w:ascii="Palatino Linotype" w:hAnsi="Palatino Linotype" w:cs="Times New Roman"/>
        </w:rPr>
      </w:pPr>
    </w:p>
    <w:tbl>
      <w:tblPr>
        <w:tblStyle w:val="KlavuzTablo1Ak-Vurgu1"/>
        <w:tblW w:w="9360" w:type="dxa"/>
        <w:tblLook w:val="0000" w:firstRow="0" w:lastRow="0" w:firstColumn="0" w:lastColumn="0" w:noHBand="0" w:noVBand="0"/>
      </w:tblPr>
      <w:tblGrid>
        <w:gridCol w:w="3120"/>
        <w:gridCol w:w="3120"/>
        <w:gridCol w:w="3120"/>
      </w:tblGrid>
      <w:tr w:rsidR="00DA4EA1" w:rsidRPr="00995E00" w:rsidTr="00E20698">
        <w:tc>
          <w:tcPr>
            <w:tcW w:w="3120" w:type="dxa"/>
            <w:vAlign w:val="center"/>
          </w:tcPr>
          <w:p w:rsidR="00DA4EA1" w:rsidRPr="00995E00" w:rsidRDefault="001B2950" w:rsidP="00E20698">
            <w:pPr>
              <w:rPr>
                <w:rFonts w:ascii="Palatino Linotype" w:hAnsi="Palatino Linotype" w:cs="Times New Roman"/>
              </w:rPr>
            </w:pPr>
            <w:r w:rsidRPr="00995E00">
              <w:rPr>
                <w:rFonts w:ascii="Palatino Linotype" w:hAnsi="Palatino Linotype" w:cs="Times New Roman"/>
                <w:b/>
                <w:bCs/>
                <w:sz w:val="16"/>
                <w:szCs w:val="16"/>
              </w:rPr>
              <w:t>Hazırlayan (Komisyon Üyesi)</w:t>
            </w:r>
          </w:p>
        </w:tc>
        <w:tc>
          <w:tcPr>
            <w:tcW w:w="3120" w:type="dxa"/>
            <w:vAlign w:val="center"/>
          </w:tcPr>
          <w:p w:rsidR="00DA4EA1" w:rsidRPr="00995E00" w:rsidRDefault="001B2950" w:rsidP="00E20698">
            <w:pPr>
              <w:rPr>
                <w:rFonts w:ascii="Palatino Linotype" w:hAnsi="Palatino Linotype" w:cs="Times New Roman"/>
              </w:rPr>
            </w:pPr>
            <w:r w:rsidRPr="00995E00">
              <w:rPr>
                <w:rFonts w:ascii="Palatino Linotype" w:hAnsi="Palatino Linotype" w:cs="Times New Roman"/>
                <w:b/>
                <w:bCs/>
                <w:sz w:val="16"/>
                <w:szCs w:val="16"/>
              </w:rPr>
              <w:t>Kontrol Eden (Bölüm Başkan Yrd.)</w:t>
            </w:r>
          </w:p>
        </w:tc>
        <w:tc>
          <w:tcPr>
            <w:tcW w:w="3120" w:type="dxa"/>
            <w:vAlign w:val="center"/>
          </w:tcPr>
          <w:p w:rsidR="00DA4EA1" w:rsidRPr="00995E00" w:rsidRDefault="001B2950" w:rsidP="00E20698">
            <w:pPr>
              <w:rPr>
                <w:rFonts w:ascii="Palatino Linotype" w:hAnsi="Palatino Linotype" w:cs="Times New Roman"/>
              </w:rPr>
            </w:pPr>
            <w:r w:rsidRPr="00995E00">
              <w:rPr>
                <w:rFonts w:ascii="Palatino Linotype" w:hAnsi="Palatino Linotype" w:cs="Times New Roman"/>
                <w:b/>
                <w:bCs/>
                <w:sz w:val="16"/>
                <w:szCs w:val="16"/>
              </w:rPr>
              <w:t>Onaylayan (Bölüm Başkanı)</w:t>
            </w:r>
          </w:p>
        </w:tc>
      </w:tr>
      <w:tr w:rsidR="00DA4EA1" w:rsidRPr="00995E00" w:rsidTr="00E20698">
        <w:tc>
          <w:tcPr>
            <w:tcW w:w="3120" w:type="dxa"/>
            <w:vAlign w:val="center"/>
          </w:tcPr>
          <w:p w:rsidR="00DA4EA1" w:rsidRPr="00995E00" w:rsidRDefault="00E343CA" w:rsidP="00E20698">
            <w:pPr>
              <w:spacing w:before="100" w:after="100"/>
              <w:rPr>
                <w:rFonts w:ascii="Palatino Linotype" w:hAnsi="Palatino Linotype" w:cs="Times New Roman"/>
              </w:rPr>
            </w:pPr>
            <w:r w:rsidRPr="00995E00">
              <w:rPr>
                <w:rFonts w:ascii="Palatino Linotype" w:hAnsi="Palatino Linotype" w:cs="Times New Roman"/>
                <w:sz w:val="16"/>
                <w:szCs w:val="16"/>
              </w:rPr>
              <w:t>Doç. Dr. Süleyman TEMİZ</w:t>
            </w:r>
          </w:p>
        </w:tc>
        <w:tc>
          <w:tcPr>
            <w:tcW w:w="3120" w:type="dxa"/>
            <w:vAlign w:val="center"/>
          </w:tcPr>
          <w:p w:rsidR="00E343CA" w:rsidRPr="00995E00" w:rsidRDefault="00E343CA" w:rsidP="00E20698">
            <w:pPr>
              <w:spacing w:before="100" w:after="20"/>
              <w:rPr>
                <w:rFonts w:ascii="Palatino Linotype" w:hAnsi="Palatino Linotype" w:cs="Times New Roman"/>
                <w:sz w:val="16"/>
                <w:szCs w:val="16"/>
              </w:rPr>
            </w:pPr>
            <w:r w:rsidRPr="00995E00">
              <w:rPr>
                <w:rFonts w:ascii="Palatino Linotype" w:hAnsi="Palatino Linotype" w:cs="Times New Roman"/>
                <w:sz w:val="16"/>
                <w:szCs w:val="16"/>
              </w:rPr>
              <w:t xml:space="preserve">Dr. </w:t>
            </w:r>
            <w:proofErr w:type="spellStart"/>
            <w:r w:rsidRPr="00995E00">
              <w:rPr>
                <w:rFonts w:ascii="Palatino Linotype" w:hAnsi="Palatino Linotype" w:cs="Times New Roman"/>
                <w:sz w:val="16"/>
                <w:szCs w:val="16"/>
              </w:rPr>
              <w:t>Öğr</w:t>
            </w:r>
            <w:proofErr w:type="spellEnd"/>
            <w:r w:rsidRPr="00995E00">
              <w:rPr>
                <w:rFonts w:ascii="Palatino Linotype" w:hAnsi="Palatino Linotype" w:cs="Times New Roman"/>
                <w:sz w:val="16"/>
                <w:szCs w:val="16"/>
              </w:rPr>
              <w:t>. Üyesi Aslıhan IĞDIR AKARAS</w:t>
            </w:r>
          </w:p>
          <w:p w:rsidR="00DA4EA1" w:rsidRPr="00995E00" w:rsidRDefault="00E343CA" w:rsidP="00E20698">
            <w:pPr>
              <w:spacing w:after="100"/>
              <w:rPr>
                <w:rFonts w:ascii="Palatino Linotype" w:hAnsi="Palatino Linotype" w:cs="Times New Roman"/>
              </w:rPr>
            </w:pPr>
            <w:r w:rsidRPr="00995E00">
              <w:rPr>
                <w:rFonts w:ascii="Palatino Linotype" w:hAnsi="Palatino Linotype" w:cs="Times New Roman"/>
                <w:sz w:val="16"/>
                <w:szCs w:val="16"/>
              </w:rPr>
              <w:t xml:space="preserve">Dr. </w:t>
            </w:r>
            <w:proofErr w:type="spellStart"/>
            <w:r w:rsidRPr="00995E00">
              <w:rPr>
                <w:rFonts w:ascii="Palatino Linotype" w:hAnsi="Palatino Linotype" w:cs="Times New Roman"/>
                <w:sz w:val="16"/>
                <w:szCs w:val="16"/>
              </w:rPr>
              <w:t>Öğr</w:t>
            </w:r>
            <w:proofErr w:type="spellEnd"/>
            <w:r w:rsidRPr="00995E00">
              <w:rPr>
                <w:rFonts w:ascii="Palatino Linotype" w:hAnsi="Palatino Linotype" w:cs="Times New Roman"/>
                <w:sz w:val="16"/>
                <w:szCs w:val="16"/>
              </w:rPr>
              <w:t xml:space="preserve">. Üyesi </w:t>
            </w:r>
            <w:proofErr w:type="gramStart"/>
            <w:r w:rsidRPr="00995E00">
              <w:rPr>
                <w:rFonts w:ascii="Palatino Linotype" w:hAnsi="Palatino Linotype" w:cs="Times New Roman"/>
                <w:sz w:val="16"/>
                <w:szCs w:val="16"/>
              </w:rPr>
              <w:t>Adem</w:t>
            </w:r>
            <w:proofErr w:type="gramEnd"/>
            <w:r w:rsidRPr="00995E00">
              <w:rPr>
                <w:rFonts w:ascii="Palatino Linotype" w:hAnsi="Palatino Linotype" w:cs="Times New Roman"/>
                <w:sz w:val="16"/>
                <w:szCs w:val="16"/>
              </w:rPr>
              <w:t xml:space="preserve"> YILMAZ</w:t>
            </w:r>
          </w:p>
        </w:tc>
        <w:tc>
          <w:tcPr>
            <w:tcW w:w="3120" w:type="dxa"/>
            <w:vAlign w:val="center"/>
          </w:tcPr>
          <w:p w:rsidR="00DA4EA1" w:rsidRPr="00995E00" w:rsidRDefault="00E343CA" w:rsidP="00E20698">
            <w:pPr>
              <w:spacing w:before="100" w:after="100"/>
              <w:rPr>
                <w:rFonts w:ascii="Palatino Linotype" w:hAnsi="Palatino Linotype" w:cs="Times New Roman"/>
              </w:rPr>
            </w:pPr>
            <w:r w:rsidRPr="00995E00">
              <w:rPr>
                <w:rFonts w:ascii="Palatino Linotype" w:hAnsi="Palatino Linotype" w:cs="Times New Roman"/>
                <w:sz w:val="16"/>
                <w:szCs w:val="16"/>
              </w:rPr>
              <w:t>Prof. Dr. Recep GÜLŞEN</w:t>
            </w:r>
          </w:p>
        </w:tc>
      </w:tr>
    </w:tbl>
    <w:p w:rsidR="001B2950" w:rsidRPr="00995E00" w:rsidRDefault="001B2950" w:rsidP="00E343CA">
      <w:pPr>
        <w:jc w:val="both"/>
        <w:rPr>
          <w:rFonts w:ascii="Palatino Linotype" w:hAnsi="Palatino Linotype" w:cs="Times New Roman"/>
        </w:rPr>
      </w:pPr>
    </w:p>
    <w:sectPr w:rsidR="001B2950" w:rsidRPr="00995E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F5ED1"/>
    <w:multiLevelType w:val="hybridMultilevel"/>
    <w:tmpl w:val="A8D0E232"/>
    <w:lvl w:ilvl="0" w:tplc="5C8E4A0E">
      <w:start w:val="1"/>
      <w:numFmt w:val="bullet"/>
      <w:lvlText w:val="●"/>
      <w:lvlJc w:val="left"/>
      <w:pPr>
        <w:ind w:left="720" w:hanging="360"/>
      </w:pPr>
    </w:lvl>
    <w:lvl w:ilvl="1" w:tplc="7F460C8A">
      <w:start w:val="1"/>
      <w:numFmt w:val="bullet"/>
      <w:lvlText w:val="○"/>
      <w:lvlJc w:val="left"/>
      <w:pPr>
        <w:ind w:left="1440" w:hanging="360"/>
      </w:pPr>
    </w:lvl>
    <w:lvl w:ilvl="2" w:tplc="75E8E2EE">
      <w:start w:val="1"/>
      <w:numFmt w:val="bullet"/>
      <w:lvlText w:val="■"/>
      <w:lvlJc w:val="left"/>
      <w:pPr>
        <w:ind w:left="2160" w:hanging="360"/>
      </w:pPr>
    </w:lvl>
    <w:lvl w:ilvl="3" w:tplc="4CB2C596">
      <w:start w:val="1"/>
      <w:numFmt w:val="bullet"/>
      <w:lvlText w:val="●"/>
      <w:lvlJc w:val="left"/>
      <w:pPr>
        <w:ind w:left="2880" w:hanging="360"/>
      </w:pPr>
    </w:lvl>
    <w:lvl w:ilvl="4" w:tplc="C8562F5E">
      <w:start w:val="1"/>
      <w:numFmt w:val="bullet"/>
      <w:lvlText w:val="○"/>
      <w:lvlJc w:val="left"/>
      <w:pPr>
        <w:ind w:left="3600" w:hanging="360"/>
      </w:pPr>
    </w:lvl>
    <w:lvl w:ilvl="5" w:tplc="87428690">
      <w:start w:val="1"/>
      <w:numFmt w:val="bullet"/>
      <w:lvlText w:val="■"/>
      <w:lvlJc w:val="left"/>
      <w:pPr>
        <w:ind w:left="4320" w:hanging="360"/>
      </w:pPr>
    </w:lvl>
    <w:lvl w:ilvl="6" w:tplc="C30AFD14">
      <w:start w:val="1"/>
      <w:numFmt w:val="bullet"/>
      <w:lvlText w:val="●"/>
      <w:lvlJc w:val="left"/>
      <w:pPr>
        <w:ind w:left="5040" w:hanging="360"/>
      </w:pPr>
    </w:lvl>
    <w:lvl w:ilvl="7" w:tplc="91B0B2BA">
      <w:start w:val="1"/>
      <w:numFmt w:val="bullet"/>
      <w:lvlText w:val="●"/>
      <w:lvlJc w:val="left"/>
      <w:pPr>
        <w:ind w:left="5760" w:hanging="360"/>
      </w:pPr>
    </w:lvl>
    <w:lvl w:ilvl="8" w:tplc="373A362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A1"/>
    <w:rsid w:val="001B2950"/>
    <w:rsid w:val="00995E00"/>
    <w:rsid w:val="00DA4EA1"/>
    <w:rsid w:val="00E20698"/>
    <w:rsid w:val="00E343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694C1-AD12-4C37-ABD8-F961D5C5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qFormat/>
    <w:pPr>
      <w:outlineLvl w:val="0"/>
    </w:pPr>
    <w:rPr>
      <w:color w:val="2E74B5"/>
      <w:sz w:val="32"/>
      <w:szCs w:val="32"/>
    </w:rPr>
  </w:style>
  <w:style w:type="paragraph" w:styleId="Balk2">
    <w:name w:val="heading 2"/>
    <w:qFormat/>
    <w:pPr>
      <w:outlineLvl w:val="1"/>
    </w:pPr>
    <w:rPr>
      <w:color w:val="2E74B5"/>
      <w:sz w:val="26"/>
      <w:szCs w:val="26"/>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 w:type="table" w:styleId="KlavuzTablo1Ak-Vurgu1">
    <w:name w:val="Grid Table 1 Light Accent 1"/>
    <w:basedOn w:val="NormalTablo"/>
    <w:uiPriority w:val="46"/>
    <w:rsid w:val="00E2069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858</Words>
  <Characters>4893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Mustafa</cp:lastModifiedBy>
  <cp:revision>5</cp:revision>
  <dcterms:created xsi:type="dcterms:W3CDTF">2026-05-17T06:56:00Z</dcterms:created>
  <dcterms:modified xsi:type="dcterms:W3CDTF">2026-05-20T15:55:00Z</dcterms:modified>
</cp:coreProperties>
</file>