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5876DC" w:rsidRPr="00C372B4" w:rsidTr="00B347F5">
        <w:tc>
          <w:tcPr>
            <w:tcW w:w="6760" w:type="dxa"/>
            <w:vMerge w:val="restart"/>
          </w:tcPr>
          <w:p w:rsidR="005876DC" w:rsidRPr="00C372B4" w:rsidRDefault="00E4646D" w:rsidP="00846F36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C372B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5876DC" w:rsidRPr="00C372B4" w:rsidRDefault="00846F36" w:rsidP="00846F36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E4646D" w:rsidRPr="00C372B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5876DC" w:rsidRPr="00C372B4" w:rsidRDefault="00E4646D" w:rsidP="00846F36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WEB VE SOSYAL MEDYA KOMİSYONU</w:t>
            </w:r>
          </w:p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5876DC" w:rsidRPr="00C372B4" w:rsidRDefault="00846F36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E4646D" w:rsidRPr="00C372B4">
              <w:rPr>
                <w:rFonts w:ascii="Palatino Linotype" w:hAnsi="Palatino Linotype" w:cs="Times New Roman"/>
                <w:sz w:val="16"/>
                <w:szCs w:val="16"/>
              </w:rPr>
              <w:t>-GT-011</w:t>
            </w:r>
          </w:p>
        </w:tc>
      </w:tr>
      <w:tr w:rsidR="005876DC" w:rsidRPr="00C372B4" w:rsidTr="00B347F5">
        <w:tc>
          <w:tcPr>
            <w:tcW w:w="0" w:type="auto"/>
            <w:vMerge/>
          </w:tcPr>
          <w:p w:rsidR="005876DC" w:rsidRPr="00C372B4" w:rsidRDefault="005876DC" w:rsidP="00846F36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5876DC" w:rsidRPr="00C372B4" w:rsidRDefault="00846F36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E4646D" w:rsidRPr="00C372B4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5876DC" w:rsidRPr="00C372B4" w:rsidTr="00B347F5">
        <w:tc>
          <w:tcPr>
            <w:tcW w:w="0" w:type="auto"/>
            <w:vMerge/>
          </w:tcPr>
          <w:p w:rsidR="005876DC" w:rsidRPr="00C372B4" w:rsidRDefault="005876DC" w:rsidP="00846F36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proofErr w:type="spellStart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5876DC" w:rsidRPr="00C372B4" w:rsidRDefault="005876DC" w:rsidP="00846F36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5876DC" w:rsidRPr="00C372B4" w:rsidTr="00B347F5">
        <w:tc>
          <w:tcPr>
            <w:tcW w:w="0" w:type="auto"/>
            <w:vMerge/>
          </w:tcPr>
          <w:p w:rsidR="005876DC" w:rsidRPr="00C372B4" w:rsidRDefault="005876DC" w:rsidP="00846F36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5876DC" w:rsidRPr="00C372B4" w:rsidRDefault="005876DC" w:rsidP="00846F36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846F36" w:rsidP="00846F36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proofErr w:type="gramStart"/>
            <w:r w:rsidRPr="00C372B4">
              <w:rPr>
                <w:rFonts w:ascii="Palatino Linotype" w:hAnsi="Palatino Linotype" w:cs="Times New Roman"/>
              </w:rPr>
              <w:t>Siyaset Bilimi ve Kamu Yönetimi Bölümü’nün web sayfasını güncel, düzenli ve erişilebilir biçimde yönetmek; bölümün sosyal medya ve dijital iletişim kanallarını kurumsal kimliğe uygun şekilde yürütmek; akreditasyon, kalite güvence ve stratejik plan süreçlerine uygun dijital içerikler hazırlamak; bölümün akademik faaliyetlerini, duyurularını, etkinliklerini ve başarılarını görünür kılmak; bölümün dijital görünürlüğünü ve kurumsal iletişim kapasitesini Stratejik Plan hedefleri doğrultusunda güçlendirmektir.</w:t>
            </w:r>
            <w:proofErr w:type="gramEnd"/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5876DC" w:rsidRPr="00C372B4" w:rsidTr="00B347F5">
        <w:tc>
          <w:tcPr>
            <w:tcW w:w="9360" w:type="dxa"/>
          </w:tcPr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Görevin gerektirdiği ilgili mevzuat, yönetmelik, yönerge ve kurumsal iletişim ilkeleri hakkında bilgi sahibi olmak.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Siyaset Bilimi ve Kamu Yönetimi Bölümü’nün web sayfası, sosyal medya hesapları ve dijital iletişim kanallarının yönetimine ilişkin süreçlere hâkim olmak.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Web sayfası içerik yönetimi, duyuru hazırlama, etkinlik haberleştirme ve dijital arşivleme konularında bilgi sahibi olmak.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Bölümün akademik faaliyetlerini, öğrenci duyurularını, etkinliklerini, başarılarını ve kalite süreçlerine ilişkin içeriklerini kurumsal dile uygun biçimde hazırlayabilmek.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Sosyal medya stratejileri, dijital görünürlük, hedef kitle iletişimi ve kurumsal temsil ilkeleri hakkında bilgi sahibi olmak.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Akreditasyon, kalite güvence ve stratejik plan süreçlerinde ihtiyaç duyulan dijital kanıtların hazırlanması, yayımlanması ve arşivlenmesi konusunda yetkin olmak.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Dijital içeriklerin güncellik, doğruluk, erişilebilirlik, kurumsal kimlik ve görsel bütünlük açısından uygunluğunu değerlendirebilmek.</w:t>
            </w:r>
          </w:p>
          <w:p w:rsidR="005876DC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 web sayfası ve sosyal medya hesaplarında yayımlanan içeriklerin öğrenci, mezun, akademik personel, dış paydaş ve aday öğrencilere yönelik etkili iletişim kurmasını sağlayacak farkındalığa sahip olmak.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Iğdır Üniversitesi Web Sayfası Yönergesi</w:t>
            </w:r>
          </w:p>
          <w:p w:rsidR="005876DC" w:rsidRPr="00C372B4" w:rsidRDefault="00E4646D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Iğdır Üniversitesi Kurumsal İletişim Yönergesi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5876DC" w:rsidRPr="00C372B4" w:rsidTr="00B347F5">
        <w:tc>
          <w:tcPr>
            <w:tcW w:w="9360" w:type="dxa"/>
          </w:tcPr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Siyaset Bilimi ve Kamu Yönetimi Bölümü web sayfasını güncel, düzenli, erişilebilir ve kurumsal kimliğe uygun biçimde yönetmek.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Web sayfasında yer alan içeriklerin doğruluğunu, güncelliğini, dil bütünlüğünü ve akademik niteliğini periyodik olarak denetlemek.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 haberlerini, duyurularını, etkinliklerini, akademik faaliyetlerini, öğrenci bilgilendirmelerini ve başarılarını dijital platformlarda yayımlamak.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Bölümün sosyal medya hesaplarını kurumsal iletişim ilkelerine uygun biçimde yönetmek ve düzenli paylaşım takvimi oluşturmak.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Sosyal medya paylaşımlarında bölümün akademik kimliğini, öğrenci odaklı faaliyetlerini, etkinliklerini ve toplumsal katkı çalışmalarını görünür kılmak.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Akreditasyon, kalite güvence ve stratejik plan süreçlerine uygun dijital içerikler hazırlamak; komisyon sayfaları, formlar, raporlar, kanıt dosyaları ve duyuruların web ortamında düzenli biçimde yer almasını sağlamak.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Bölümün dijital görünürlüğünü artırmaya yönelik içerik, tanıtım ve iletişim stratejileri geliştirmek.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 xml:space="preserve">● Öğretim elemanlarının akademik </w:t>
            </w:r>
            <w:proofErr w:type="gramStart"/>
            <w:r w:rsidRPr="00C372B4">
              <w:rPr>
                <w:rFonts w:ascii="Palatino Linotype" w:hAnsi="Palatino Linotype" w:cs="Times New Roman"/>
              </w:rPr>
              <w:t>profillerinin</w:t>
            </w:r>
            <w:proofErr w:type="gramEnd"/>
            <w:r w:rsidRPr="00C372B4">
              <w:rPr>
                <w:rFonts w:ascii="Palatino Linotype" w:hAnsi="Palatino Linotype" w:cs="Times New Roman"/>
              </w:rPr>
              <w:t>, iletişim bilgilerinin, çalışma alanlarının, yayınlarının ve ders bilgilerinin web sayfasında güncel tutulmasını sağlamak.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Web sayfasının erişilebilirlik, kullanılabilirlik, bağlantı doğruluğu ve mobil uyumluluk bakımından düzenli olarak kontrol edilmesine katkı sunmak.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 web sayfasında yer alan bilgilerin mevzuat, müfredat, akademik takvim ve bölüm kararlarıyla tutarlılığını periyodik olarak denetlemek.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 web sayfasının ziyaretçi istatistiklerini, erişim verilerini ve dijital etkileşim düzeyini takip ederek raporlamak.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lastRenderedPageBreak/>
              <w:t>● Dijital ortamda öğrenci-bölüm iletişimini güçlendirecek duyuru, bilgilendirme, sıkça sorulan sorular, formlar ve çevrim içi başvuru/yönlendirme araçlarının geliştirilmesine katkı sağlamak.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Bölümün web sitesini düzenli aralıklarla güncellemek; stratejik plan hedefleri doğrultusunda yıllık güncelleme ve sosyal medya paylaşım hedeflerinin gerçekleştirilmesine katkı sunmak.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Sosyal medya görünürlüğünü artırmak amacıyla bölüm faaliyetlerine ilişkin haber, görsel içerik, etkinlik duyurusu, öğrenci bilgilendirmesi ve akademik başarı paylaşımlarını planlı biçimde hazırlamak.</w:t>
            </w:r>
          </w:p>
          <w:p w:rsidR="005876DC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Dijitalleşme olanaklarını değerlendirerek e-öğrenme platformları, çevrim içi içerik paylaşımı, dijital arşivleme ve uzaktan bilgilendirme süreçlerine katkı sunmak.</w:t>
            </w:r>
          </w:p>
        </w:tc>
      </w:tr>
      <w:tr w:rsidR="005876DC" w:rsidRPr="00C372B4" w:rsidTr="00B347F5">
        <w:tc>
          <w:tcPr>
            <w:tcW w:w="936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5876DC" w:rsidRPr="00C372B4" w:rsidTr="00B347F5">
        <w:tc>
          <w:tcPr>
            <w:tcW w:w="9360" w:type="dxa"/>
          </w:tcPr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Siyaset Bilimi ve Kamu Yönetimi Bölümü web sayfasının güncellik durumunu periyodik olarak kontrol etmek ve eksik, hatalı veya güncelliğini yitirmiş içerikleri raporlamak.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Web sayfasında yer alan duyuru, haber, etkinlik, akademik personel bilgileri, ders içerikleri, komisyon sayfaları, formlar ve kalite süreçlerine ilişkin belgelerin güncelliğini izlemek.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Bölümün dijital iletişim faaliyetlerini; web sayfası güncellemeleri, sosyal medya paylaşımları, duyuru ve haber içerikleri bakımından dönemsel olarak raporlamak.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Web sayfasının kullanılabilirlik, erişilebilirlik, bağlantı doğruluğu, mobil uyumluluk ve kullanıcı deneyimi açısından değerlendirilmesine katkı sunmak.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Web sayfası ve sosyal medya hesaplarına ilişkin aylık güncelleme, paylaşım, erişim ve etkileşim istatistiklerini takip etmek.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Aylık web güncelleme ve sosyal medya paylaşım verilerini Stratejik Plan hedefleriyle karşılaştırmalı biçimde izlemek ve hedeflerden sapma görülen alanları raporlamak.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Dijital iletişim süreçlerinde tespit edilen eksikliklere yönelik iyileştirme önerileri hazırlamak ve ilgili kurul/komisyonlara sunmak.</w:t>
            </w:r>
          </w:p>
          <w:p w:rsidR="00846F36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Dijital içeriklerin kurumsal kimlik, akademik doğruluk, erişilebilirlik ve kalite güvence standartlarına uygunluğunu izlemek.</w:t>
            </w:r>
          </w:p>
          <w:p w:rsidR="005876DC" w:rsidRPr="00C372B4" w:rsidRDefault="00846F36" w:rsidP="00846F36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</w:rPr>
              <w:t>● Web sayfası ve sosyal medya faaliyetlerinden elde edilen verileri bölümün tanıtım, akreditasyon, kalite güvence ve stratejik plan izleme süreçlerinde kullanılmak üzere belgelemek ve arşivlemek.</w:t>
            </w:r>
          </w:p>
        </w:tc>
      </w:tr>
    </w:tbl>
    <w:p w:rsidR="005876DC" w:rsidRPr="00C372B4" w:rsidRDefault="005876DC" w:rsidP="00846F36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876DC" w:rsidRPr="00C372B4" w:rsidTr="00B347F5">
        <w:tc>
          <w:tcPr>
            <w:tcW w:w="312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5876DC" w:rsidRPr="00C372B4" w:rsidRDefault="00E4646D" w:rsidP="00846F36">
            <w:pPr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846F36" w:rsidRPr="00C372B4" w:rsidTr="00B347F5">
        <w:tc>
          <w:tcPr>
            <w:tcW w:w="3120" w:type="dxa"/>
          </w:tcPr>
          <w:p w:rsidR="00846F36" w:rsidRPr="00C372B4" w:rsidRDefault="00846F36" w:rsidP="00846F3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846F36" w:rsidRPr="00C372B4" w:rsidRDefault="00846F36" w:rsidP="00846F36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846F36" w:rsidRPr="00C372B4" w:rsidRDefault="00846F36" w:rsidP="00846F36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846F36" w:rsidRPr="00C372B4" w:rsidRDefault="00846F36" w:rsidP="00846F3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C372B4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E4646D" w:rsidRPr="00C372B4" w:rsidRDefault="00E4646D" w:rsidP="00846F36">
      <w:pPr>
        <w:jc w:val="both"/>
        <w:rPr>
          <w:rFonts w:ascii="Palatino Linotype" w:hAnsi="Palatino Linotype" w:cs="Times New Roman"/>
        </w:rPr>
      </w:pPr>
    </w:p>
    <w:sectPr w:rsidR="00E4646D" w:rsidRPr="00C37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2EEA"/>
    <w:multiLevelType w:val="hybridMultilevel"/>
    <w:tmpl w:val="221C0E32"/>
    <w:lvl w:ilvl="0" w:tplc="E398FFFA">
      <w:start w:val="1"/>
      <w:numFmt w:val="bullet"/>
      <w:lvlText w:val="●"/>
      <w:lvlJc w:val="left"/>
      <w:pPr>
        <w:ind w:left="720" w:hanging="360"/>
      </w:pPr>
    </w:lvl>
    <w:lvl w:ilvl="1" w:tplc="BCCEAF4C">
      <w:start w:val="1"/>
      <w:numFmt w:val="bullet"/>
      <w:lvlText w:val="○"/>
      <w:lvlJc w:val="left"/>
      <w:pPr>
        <w:ind w:left="1440" w:hanging="360"/>
      </w:pPr>
    </w:lvl>
    <w:lvl w:ilvl="2" w:tplc="72082520">
      <w:start w:val="1"/>
      <w:numFmt w:val="bullet"/>
      <w:lvlText w:val="■"/>
      <w:lvlJc w:val="left"/>
      <w:pPr>
        <w:ind w:left="2160" w:hanging="360"/>
      </w:pPr>
    </w:lvl>
    <w:lvl w:ilvl="3" w:tplc="90302BA2">
      <w:start w:val="1"/>
      <w:numFmt w:val="bullet"/>
      <w:lvlText w:val="●"/>
      <w:lvlJc w:val="left"/>
      <w:pPr>
        <w:ind w:left="2880" w:hanging="360"/>
      </w:pPr>
    </w:lvl>
    <w:lvl w:ilvl="4" w:tplc="3A7AD45E">
      <w:start w:val="1"/>
      <w:numFmt w:val="bullet"/>
      <w:lvlText w:val="○"/>
      <w:lvlJc w:val="left"/>
      <w:pPr>
        <w:ind w:left="3600" w:hanging="360"/>
      </w:pPr>
    </w:lvl>
    <w:lvl w:ilvl="5" w:tplc="C2FCC43C">
      <w:start w:val="1"/>
      <w:numFmt w:val="bullet"/>
      <w:lvlText w:val="■"/>
      <w:lvlJc w:val="left"/>
      <w:pPr>
        <w:ind w:left="4320" w:hanging="360"/>
      </w:pPr>
    </w:lvl>
    <w:lvl w:ilvl="6" w:tplc="D7BA8D26">
      <w:start w:val="1"/>
      <w:numFmt w:val="bullet"/>
      <w:lvlText w:val="●"/>
      <w:lvlJc w:val="left"/>
      <w:pPr>
        <w:ind w:left="5040" w:hanging="360"/>
      </w:pPr>
    </w:lvl>
    <w:lvl w:ilvl="7" w:tplc="6E6EE290">
      <w:start w:val="1"/>
      <w:numFmt w:val="bullet"/>
      <w:lvlText w:val="●"/>
      <w:lvlJc w:val="left"/>
      <w:pPr>
        <w:ind w:left="5760" w:hanging="360"/>
      </w:pPr>
    </w:lvl>
    <w:lvl w:ilvl="8" w:tplc="43F2112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DC"/>
    <w:rsid w:val="005876DC"/>
    <w:rsid w:val="00846F36"/>
    <w:rsid w:val="00B347F5"/>
    <w:rsid w:val="00C372B4"/>
    <w:rsid w:val="00E4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EA470-DD89-4E69-AEE9-6BCDFC48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B347F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5</cp:revision>
  <dcterms:created xsi:type="dcterms:W3CDTF">2026-05-17T08:12:00Z</dcterms:created>
  <dcterms:modified xsi:type="dcterms:W3CDTF">2026-05-20T15:51:00Z</dcterms:modified>
</cp:coreProperties>
</file>