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Tablo1Ak-Vurgu1"/>
        <w:tblW w:w="9360" w:type="dxa"/>
        <w:tblLook w:val="04A0" w:firstRow="1" w:lastRow="0" w:firstColumn="1" w:lastColumn="0" w:noHBand="0" w:noVBand="1"/>
      </w:tblPr>
      <w:tblGrid>
        <w:gridCol w:w="6760"/>
        <w:gridCol w:w="1400"/>
        <w:gridCol w:w="1200"/>
      </w:tblGrid>
      <w:tr w:rsidR="00093E44" w:rsidRPr="00967592" w:rsidTr="00747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0" w:type="dxa"/>
            <w:vMerge w:val="restart"/>
          </w:tcPr>
          <w:p w:rsidR="00093E44" w:rsidRPr="00967592" w:rsidRDefault="00185098" w:rsidP="00747AEA">
            <w:pPr>
              <w:spacing w:after="60"/>
              <w:jc w:val="both"/>
              <w:rPr>
                <w:rFonts w:ascii="Palatino Linotype" w:hAnsi="Palatino Linotype" w:cs="Times New Roman"/>
              </w:rPr>
            </w:pPr>
            <w:bookmarkStart w:id="0" w:name="_GoBack"/>
            <w:r w:rsidRPr="00967592">
              <w:rPr>
                <w:rFonts w:ascii="Palatino Linotype" w:hAnsi="Palatino Linotype" w:cs="Times New Roman"/>
                <w:sz w:val="20"/>
                <w:szCs w:val="20"/>
              </w:rPr>
              <w:t>İKTİSADİ VE İDARİ BİLİMLER FAKÜLTESİ</w:t>
            </w:r>
          </w:p>
          <w:p w:rsidR="00093E44" w:rsidRPr="00967592" w:rsidRDefault="00747AEA" w:rsidP="00747AEA">
            <w:pPr>
              <w:spacing w:after="60"/>
              <w:jc w:val="both"/>
              <w:rPr>
                <w:rFonts w:ascii="Palatino Linotype" w:hAnsi="Palatino Linotype" w:cs="Times New Roman"/>
              </w:rPr>
            </w:pPr>
            <w:r w:rsidRPr="00967592">
              <w:rPr>
                <w:rFonts w:ascii="Palatino Linotype" w:hAnsi="Palatino Linotype" w:cs="Times New Roman"/>
                <w:sz w:val="20"/>
                <w:szCs w:val="20"/>
              </w:rPr>
              <w:t xml:space="preserve">SİYASET BİLİMİ VE KAMU YÖNETİMİ </w:t>
            </w:r>
            <w:r w:rsidR="00185098" w:rsidRPr="00967592">
              <w:rPr>
                <w:rFonts w:ascii="Palatino Linotype" w:hAnsi="Palatino Linotype" w:cs="Times New Roman"/>
                <w:sz w:val="20"/>
                <w:szCs w:val="20"/>
              </w:rPr>
              <w:t>BÖLÜMÜ</w:t>
            </w:r>
          </w:p>
          <w:p w:rsidR="00093E44" w:rsidRPr="00967592" w:rsidRDefault="00185098" w:rsidP="00747AEA">
            <w:pPr>
              <w:spacing w:after="60"/>
              <w:jc w:val="both"/>
              <w:rPr>
                <w:rFonts w:ascii="Palatino Linotype" w:hAnsi="Palatino Linotype" w:cs="Times New Roman"/>
              </w:rPr>
            </w:pPr>
            <w:r w:rsidRPr="00967592">
              <w:rPr>
                <w:rFonts w:ascii="Palatino Linotype" w:hAnsi="Palatino Linotype" w:cs="Times New Roman"/>
              </w:rPr>
              <w:t>TOPLUMSAL KATKI KOMİSYONU</w:t>
            </w:r>
          </w:p>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GÖREV TANIMI FORMU</w:t>
            </w:r>
          </w:p>
        </w:tc>
        <w:tc>
          <w:tcPr>
            <w:tcW w:w="1400" w:type="dxa"/>
          </w:tcPr>
          <w:p w:rsidR="00093E44" w:rsidRPr="00967592" w:rsidRDefault="00185098" w:rsidP="00747AEA">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rPr>
            </w:pPr>
            <w:r w:rsidRPr="00967592">
              <w:rPr>
                <w:rFonts w:ascii="Palatino Linotype" w:hAnsi="Palatino Linotype" w:cs="Times New Roman"/>
                <w:b w:val="0"/>
                <w:sz w:val="16"/>
                <w:szCs w:val="16"/>
              </w:rPr>
              <w:t>Doküman No</w:t>
            </w:r>
          </w:p>
        </w:tc>
        <w:tc>
          <w:tcPr>
            <w:tcW w:w="1200" w:type="dxa"/>
          </w:tcPr>
          <w:p w:rsidR="00093E44" w:rsidRPr="00967592" w:rsidRDefault="00747AEA" w:rsidP="00747AEA">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rPr>
            </w:pPr>
            <w:r w:rsidRPr="00967592">
              <w:rPr>
                <w:rFonts w:ascii="Palatino Linotype" w:hAnsi="Palatino Linotype" w:cs="Times New Roman"/>
                <w:b w:val="0"/>
                <w:sz w:val="16"/>
                <w:szCs w:val="16"/>
              </w:rPr>
              <w:t>SBKY</w:t>
            </w:r>
            <w:r w:rsidR="00185098" w:rsidRPr="00967592">
              <w:rPr>
                <w:rFonts w:ascii="Palatino Linotype" w:hAnsi="Palatino Linotype" w:cs="Times New Roman"/>
                <w:b w:val="0"/>
                <w:sz w:val="16"/>
                <w:szCs w:val="16"/>
              </w:rPr>
              <w:t>-GT-013</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0" w:type="auto"/>
            <w:vMerge/>
          </w:tcPr>
          <w:p w:rsidR="00093E44" w:rsidRPr="00967592" w:rsidRDefault="00093E44" w:rsidP="00747AEA">
            <w:pPr>
              <w:jc w:val="both"/>
              <w:rPr>
                <w:rFonts w:ascii="Palatino Linotype" w:hAnsi="Palatino Linotype" w:cs="Times New Roman"/>
              </w:rPr>
            </w:pPr>
          </w:p>
        </w:tc>
        <w:tc>
          <w:tcPr>
            <w:tcW w:w="1400" w:type="dxa"/>
          </w:tcPr>
          <w:p w:rsidR="00093E44" w:rsidRPr="00967592" w:rsidRDefault="00185098"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İlk yayın tarihi</w:t>
            </w:r>
          </w:p>
        </w:tc>
        <w:tc>
          <w:tcPr>
            <w:tcW w:w="1200" w:type="dxa"/>
          </w:tcPr>
          <w:p w:rsidR="00093E44" w:rsidRPr="00967592" w:rsidRDefault="00747AEA"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13</w:t>
            </w:r>
            <w:r w:rsidR="00185098" w:rsidRPr="00967592">
              <w:rPr>
                <w:rFonts w:ascii="Palatino Linotype" w:hAnsi="Palatino Linotype" w:cs="Times New Roman"/>
                <w:sz w:val="16"/>
                <w:szCs w:val="16"/>
              </w:rPr>
              <w:t>.05.2026</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0" w:type="auto"/>
            <w:vMerge/>
          </w:tcPr>
          <w:p w:rsidR="00093E44" w:rsidRPr="00967592" w:rsidRDefault="00093E44" w:rsidP="00747AEA">
            <w:pPr>
              <w:jc w:val="both"/>
              <w:rPr>
                <w:rFonts w:ascii="Palatino Linotype" w:hAnsi="Palatino Linotype" w:cs="Times New Roman"/>
              </w:rPr>
            </w:pPr>
          </w:p>
        </w:tc>
        <w:tc>
          <w:tcPr>
            <w:tcW w:w="1400" w:type="dxa"/>
          </w:tcPr>
          <w:p w:rsidR="00093E44" w:rsidRPr="00967592" w:rsidRDefault="00185098"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roofErr w:type="spellStart"/>
            <w:r w:rsidRPr="00967592">
              <w:rPr>
                <w:rFonts w:ascii="Palatino Linotype" w:hAnsi="Palatino Linotype" w:cs="Times New Roman"/>
                <w:sz w:val="16"/>
                <w:szCs w:val="16"/>
              </w:rPr>
              <w:t>Rev</w:t>
            </w:r>
            <w:proofErr w:type="spellEnd"/>
            <w:r w:rsidRPr="00967592">
              <w:rPr>
                <w:rFonts w:ascii="Palatino Linotype" w:hAnsi="Palatino Linotype" w:cs="Times New Roman"/>
                <w:sz w:val="16"/>
                <w:szCs w:val="16"/>
              </w:rPr>
              <w:t>. No / Tarih</w:t>
            </w:r>
          </w:p>
        </w:tc>
        <w:tc>
          <w:tcPr>
            <w:tcW w:w="1200" w:type="dxa"/>
          </w:tcPr>
          <w:p w:rsidR="00093E44" w:rsidRPr="00967592" w:rsidRDefault="00093E44"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0" w:type="auto"/>
            <w:vMerge/>
          </w:tcPr>
          <w:p w:rsidR="00093E44" w:rsidRPr="00967592" w:rsidRDefault="00093E44" w:rsidP="00747AEA">
            <w:pPr>
              <w:jc w:val="both"/>
              <w:rPr>
                <w:rFonts w:ascii="Palatino Linotype" w:hAnsi="Palatino Linotype" w:cs="Times New Roman"/>
              </w:rPr>
            </w:pPr>
          </w:p>
        </w:tc>
        <w:tc>
          <w:tcPr>
            <w:tcW w:w="1400" w:type="dxa"/>
          </w:tcPr>
          <w:p w:rsidR="00093E44" w:rsidRPr="00967592" w:rsidRDefault="00185098"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Sayfa sayısı</w:t>
            </w:r>
          </w:p>
        </w:tc>
        <w:tc>
          <w:tcPr>
            <w:tcW w:w="1200" w:type="dxa"/>
          </w:tcPr>
          <w:p w:rsidR="00093E44" w:rsidRPr="00967592" w:rsidRDefault="00185098" w:rsidP="00747AE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1/1</w:t>
            </w:r>
          </w:p>
        </w:tc>
      </w:tr>
    </w:tbl>
    <w:p w:rsidR="00093E44" w:rsidRPr="00967592" w:rsidRDefault="00093E44" w:rsidP="00747AEA">
      <w:pPr>
        <w:spacing w:before="200"/>
        <w:jc w:val="both"/>
        <w:rPr>
          <w:rFonts w:ascii="Palatino Linotype" w:hAnsi="Palatino Linotype" w:cs="Times New Roman"/>
        </w:rPr>
      </w:pPr>
    </w:p>
    <w:tbl>
      <w:tblPr>
        <w:tblStyle w:val="KlavuzTablo1Ak-Vurgu1"/>
        <w:tblW w:w="9360" w:type="dxa"/>
        <w:tblLook w:val="04A0" w:firstRow="1" w:lastRow="0" w:firstColumn="1" w:lastColumn="0" w:noHBand="0" w:noVBand="1"/>
      </w:tblPr>
      <w:tblGrid>
        <w:gridCol w:w="9360"/>
      </w:tblGrid>
      <w:tr w:rsidR="00093E44" w:rsidRPr="00967592" w:rsidTr="00747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Görev</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747AEA" w:rsidP="00747AEA">
            <w:pPr>
              <w:spacing w:after="40"/>
              <w:jc w:val="both"/>
              <w:rPr>
                <w:rFonts w:ascii="Palatino Linotype" w:hAnsi="Palatino Linotype" w:cs="Times New Roman"/>
                <w:b w:val="0"/>
              </w:rPr>
            </w:pPr>
            <w:proofErr w:type="gramStart"/>
            <w:r w:rsidRPr="00967592">
              <w:rPr>
                <w:rFonts w:ascii="Palatino Linotype" w:hAnsi="Palatino Linotype" w:cs="Times New Roman"/>
                <w:b w:val="0"/>
              </w:rPr>
              <w:t>Siyaset Bilimi ve Kamu Yönetimi Bölümü’nün topluma hizmet, sosyal sorumluluk ve toplumsal katkı faaliyetlerini planlamak, koordine etmek ve raporlamak; bölümün akademik birikimini yerel yönetimler, kamu kurumları, sivil toplum kuruluşları ve bölgesel paydaşlarla iş birliği içinde toplumsal faydaya dönüştürmek; Iğdır’ın bölgesel kalkınma dinamiklerini, sınır kenti niteliğini, sınır ticareti, göç, yerel yönetimler ve yönetişim kapasitesi gibi alanları dikkate alarak bölümün toplumsal ve bölgesel kalkınmaya katkısını artırmaktır.</w:t>
            </w:r>
            <w:proofErr w:type="gramEnd"/>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Üstü</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spacing w:after="40"/>
              <w:jc w:val="both"/>
              <w:rPr>
                <w:rFonts w:ascii="Palatino Linotype" w:hAnsi="Palatino Linotype" w:cs="Times New Roman"/>
                <w:b w:val="0"/>
              </w:rPr>
            </w:pPr>
            <w:r w:rsidRPr="00967592">
              <w:rPr>
                <w:rFonts w:ascii="Palatino Linotype" w:hAnsi="Palatino Linotype" w:cs="Times New Roman"/>
                <w:b w:val="0"/>
              </w:rPr>
              <w:t>Bölüm Başkanı</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Vekili</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spacing w:after="40"/>
              <w:jc w:val="both"/>
              <w:rPr>
                <w:rFonts w:ascii="Palatino Linotype" w:hAnsi="Palatino Linotype" w:cs="Times New Roman"/>
                <w:b w:val="0"/>
              </w:rPr>
            </w:pPr>
            <w:r w:rsidRPr="00967592">
              <w:rPr>
                <w:rFonts w:ascii="Palatino Linotype" w:hAnsi="Palatino Linotype" w:cs="Times New Roman"/>
                <w:b w:val="0"/>
              </w:rPr>
              <w:t>Komisyon Başkanı</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Nitelikler</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rPr>
              <w:t xml:space="preserve">● </w:t>
            </w:r>
            <w:r w:rsidRPr="00967592">
              <w:rPr>
                <w:rFonts w:ascii="Palatino Linotype" w:hAnsi="Palatino Linotype" w:cs="Times New Roman"/>
                <w:b w:val="0"/>
              </w:rPr>
              <w:t>Görevin gerektirdiği ilgili mevzuat, yönetmelik, yönerge ve toplumsal katkı süreçleri hakkında bilgi sahibi olmak.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Siyaset Bilimi ve Kamu Yönetimi Bölümü’nün topluma hizmet, sosyal sorumluluk ve bölgesel katkı faaliyetlerinin amacı ve kapsamı hakkında bilgi sahibi olmak.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Sosyal sorumluluk projeleri, toplumsal katkı faaliyetleri, kamu yararı odaklı etkinlikler ve paydaş iş birlikleri konusunda deneyim sahibi olmak.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Yerel yönetimler, kamu kurumları, sivil toplum kuruluşları ve bölgesel paydaşlarla iş birliği geliştirme süreçlerine hâkim olmak.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Bölgesel kalkınma, yerel yönetişim, kırsal kalkınma, sınır yönetimi, göç, kamu politikası ve yerel hizmet sunumu konularında farkındalık sahibi olmak.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Iğdır’ın sınır kenti niteliği, tarımsal üretim yapısı, sınır ticareti potansiyeli ve bölgesel kalkınma ihtiyaçlarını Siyaset Bilimi ve Kamu Yönetimi perspektifiyle değerlendirebilmek.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faaliyetlerini bölümün akademik uzmanlık alanlarıyla ilişkilendirebilmek; özellikle yerel yönetimler, kamu politikası, yönetişim, kentleşme, göç yönetimi, sosyal politika ve bölgesel kalkınma başlıklarında proje geliştirme kapasitesine sahip olmak.</w:t>
            </w:r>
          </w:p>
          <w:p w:rsidR="00093E44" w:rsidRPr="00967592" w:rsidRDefault="00747AEA" w:rsidP="00747AEA">
            <w:pPr>
              <w:spacing w:after="30"/>
              <w:ind w:left="360" w:hanging="200"/>
              <w:jc w:val="both"/>
              <w:rPr>
                <w:rFonts w:ascii="Palatino Linotype" w:hAnsi="Palatino Linotype" w:cs="Times New Roman"/>
              </w:rPr>
            </w:pPr>
            <w:r w:rsidRPr="00967592">
              <w:rPr>
                <w:rFonts w:ascii="Palatino Linotype" w:hAnsi="Palatino Linotype" w:cs="Times New Roman"/>
                <w:b w:val="0"/>
              </w:rPr>
              <w:t>● Toplumsal katkı projelerinden elde edilen sonuçları raporlama, değerlendirme ve kalite güvence süreçlerine aktarma konusunda yetkin olmak.</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İlgili Mevzuat</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spacing w:after="30"/>
              <w:ind w:left="360" w:hanging="200"/>
              <w:jc w:val="both"/>
              <w:rPr>
                <w:rFonts w:ascii="Palatino Linotype" w:hAnsi="Palatino Linotype" w:cs="Times New Roman"/>
                <w:b w:val="0"/>
              </w:rPr>
            </w:pPr>
            <w:r w:rsidRPr="00967592">
              <w:rPr>
                <w:rFonts w:ascii="Palatino Linotype" w:hAnsi="Palatino Linotype" w:cs="Times New Roman"/>
              </w:rPr>
              <w:t xml:space="preserve">● </w:t>
            </w:r>
            <w:r w:rsidRPr="00967592">
              <w:rPr>
                <w:rFonts w:ascii="Palatino Linotype" w:hAnsi="Palatino Linotype" w:cs="Times New Roman"/>
                <w:b w:val="0"/>
              </w:rPr>
              <w:t>Yükseköğretim Kalite Güvencesi Yönetmeliği</w:t>
            </w:r>
          </w:p>
          <w:p w:rsidR="00093E44" w:rsidRPr="00967592" w:rsidRDefault="00185098" w:rsidP="00747AEA">
            <w:pPr>
              <w:spacing w:after="30"/>
              <w:ind w:left="360" w:hanging="200"/>
              <w:jc w:val="both"/>
              <w:rPr>
                <w:rFonts w:ascii="Palatino Linotype" w:hAnsi="Palatino Linotype" w:cs="Times New Roman"/>
              </w:rPr>
            </w:pPr>
            <w:r w:rsidRPr="00967592">
              <w:rPr>
                <w:rFonts w:ascii="Palatino Linotype" w:hAnsi="Palatino Linotype" w:cs="Times New Roman"/>
                <w:b w:val="0"/>
              </w:rPr>
              <w:t>● Iğdır Üniversitesi Toplumsal Katkı Politikası</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t>Görev ve Sorumluluklar</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Siyaset Bilimi ve Kamu Yönetimi Bölümü’nün toplumsal katkı faaliyetlerini yıllık plan doğrultusunda hazırlamak, organize etmek ve yürütülmesini koordine etmek.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Bölümün sosyal sorumluluk projelerini kamu yararı, toplumsal ihtiyaçlar ve yerel paydaş beklentileri doğrultusunda planlamak ve uygulamak.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Bölümün toplumsal etkisini artırmaya yönelik stratejik çalışmalar geliştirmek; bu çalışmaları yerel yönetimler, kamu kurumları, sivil toplum kuruluşları ve bölgesel paydaşlarla ilişkilendirmek.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faaliyetlerini düzenli biçimde belgelemek, görsel kayıtlarını oluşturmak ve faaliyet sonuçlarını raporlamak.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Sivil toplum kuruluşları, kamu kurumları, belediyeler, il özel idaresi, kalkınma ajansları ve yerel yönetim birimleriyle iş birliği olanakları geliştirmek.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Bölgesel kalkınma, yerel yönetişim, kamu hizmetlerinin iyileştirilmesi, göç yönetimi, sosyal politika, kırsal kalkınma ve sınır yönetimi gibi Siyaset Bilimi ve Kamu Yönetimi alanıyla ilişkili konularda araştırma, danışmanlık ve proje önerileri geliştirmek.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xml:space="preserve">● Halka açık seminer, konferans, panel, </w:t>
            </w:r>
            <w:proofErr w:type="spellStart"/>
            <w:r w:rsidRPr="00967592">
              <w:rPr>
                <w:rFonts w:ascii="Palatino Linotype" w:hAnsi="Palatino Linotype" w:cs="Times New Roman"/>
                <w:b w:val="0"/>
              </w:rPr>
              <w:t>çalıştay</w:t>
            </w:r>
            <w:proofErr w:type="spellEnd"/>
            <w:r w:rsidRPr="00967592">
              <w:rPr>
                <w:rFonts w:ascii="Palatino Linotype" w:hAnsi="Palatino Linotype" w:cs="Times New Roman"/>
                <w:b w:val="0"/>
              </w:rPr>
              <w:t xml:space="preserve"> ve bilgilendirme etkinlikleri düzenleyerek bölümün akademik birikimini toplumsal faydaya dönüştürmek.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Öğrencilerin toplumsal katkı ve sosyal sorumluluk faaliyetlerine aktif katılımını teşvik etmek; öğrencilerin kamu yararı, yurttaşlık bilinci ve yerel sorunlara duyarlılık geliştirmelerine katkı sağlamak.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projelerinin hedef kitle, çıktı, katılım düzeyi, sürdürülebilirlik ve yerel etki bakımından değerlendirmesini yapmak.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lastRenderedPageBreak/>
              <w:t>● Bölümün toplumsal katkı performansını ulusal ve uluslararası iyi uygulama örnekleriyle karşılaştırarak geliştirme önerileri hazırlamak.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Yerel paydaşlardan gelen toplumsal talepleri değerlendirmek; bu talepleri bölümün uzmanlık alanlarıyla uyumlu proje, etkinlik, araştırma veya danışmanlık faaliyetlerine dönüştürmek.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Sürdürülebilir kalkınma, yerel yönetimler, katılımcı yönetişim, sosyal politika, göç, çevre politikaları, kırsal kalkınma ve kamu hizmetleri temalarında ders, seminer veya bilgilendirme etkinlikleri planlamak.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xml:space="preserve">● Üniversitenin “Katma Değeri Yüksek Tarımsal Ürünler” ihtisaslaşma alanını Siyaset Bilimi ve Kamu Yönetimi perspektifiyle değerlendirerek kırsal kalkınma, yerel kamu politikaları, kooperatifçilik, gıda güvenliği, tarımsal yönetişim ve yerel kalkınma kapasitesi konularında </w:t>
            </w:r>
            <w:proofErr w:type="spellStart"/>
            <w:r w:rsidRPr="00967592">
              <w:rPr>
                <w:rFonts w:ascii="Palatino Linotype" w:hAnsi="Palatino Linotype" w:cs="Times New Roman"/>
                <w:b w:val="0"/>
              </w:rPr>
              <w:t>disiplinlerarası</w:t>
            </w:r>
            <w:proofErr w:type="spellEnd"/>
            <w:r w:rsidRPr="00967592">
              <w:rPr>
                <w:rFonts w:ascii="Palatino Linotype" w:hAnsi="Palatino Linotype" w:cs="Times New Roman"/>
                <w:b w:val="0"/>
              </w:rPr>
              <w:t xml:space="preserve"> proje önerileri geliştirmek.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Iğdır’ın sınır kenti niteliğini dikkate alarak sınır yönetimi, sınır ticareti, bölgesel iş birliği, göç hareketleri, lojistik yönetişimi ve yerel kalkınma ilişkisi üzerine uygulamalı araştırma ve proje önerileri hazırlamak.</w:t>
            </w:r>
          </w:p>
          <w:p w:rsidR="00093E44"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faaliyetlerinden elde edilen sonuçları bölümün kalite güvence, stratejik plan izleme, akreditasyon ve paydaş iş birliği süreçlerinde kullanılmak üzere raporlamak.</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rPr>
              <w:lastRenderedPageBreak/>
              <w:t>KYS Kapsamında Görev ve Sorumluluklar</w:t>
            </w:r>
          </w:p>
        </w:tc>
      </w:tr>
      <w:tr w:rsidR="00093E44" w:rsidRPr="00967592" w:rsidTr="00747AEA">
        <w:tc>
          <w:tcPr>
            <w:cnfStyle w:val="001000000000" w:firstRow="0" w:lastRow="0" w:firstColumn="1" w:lastColumn="0" w:oddVBand="0" w:evenVBand="0" w:oddHBand="0" w:evenHBand="0" w:firstRowFirstColumn="0" w:firstRowLastColumn="0" w:lastRowFirstColumn="0" w:lastRowLastColumn="0"/>
            <w:tcW w:w="9360" w:type="dxa"/>
          </w:tcPr>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rPr>
              <w:t xml:space="preserve">● </w:t>
            </w:r>
            <w:r w:rsidRPr="00967592">
              <w:rPr>
                <w:rFonts w:ascii="Palatino Linotype" w:hAnsi="Palatino Linotype" w:cs="Times New Roman"/>
                <w:b w:val="0"/>
              </w:rPr>
              <w:t>Siyaset Bilimi ve Kamu Yönetimi Bölümü’nün toplumsal katkı faaliyetlerine ilişkin Kalite Yönetim Sistemi göstergelerini düzenli olarak izlemek ve raporlamak.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faaliyetlerini faaliyet türü, hedef kitle, paydaş katılımı, öğrenci katılımı, çıktı ve etki düzeyi bakımından kayıt altına almak.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Yıllık toplumsal katkı raporunu hazırlamak; yürütülen sosyal sorumluluk projeleri, seminerler, paydaş iş birlikleri, araştırma/danışmanlık faaliyetleri ve bölgesel katkı çalışmalarını raporda bütüncül biçimde sunmak.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Hazırlanan toplumsal katkı raporunu kalite güvence, stratejik plan izleme ve akreditasyon dosyasında kanıt olarak kullanılmak üzere arşivlemek.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faaliyetlerinin etki değerlendirmesini PUKÖ döngüsü çerçevesinde yapmak; planlanan hedefler ile gerçekleşen sonuçları karşılaştırmak.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faaliyetlerinden elde edilen bulguları iyileştirme önerilerine dönüştürmek ve sonraki dönem faaliyet planlarına yansıtmak.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faaliyetlerine ilişkin öğrenci, öğretim elemanı, mezun, kamu kurumu, yerel yönetim, sivil toplum kuruluşu ve dış paydaş katılım istatistiklerini derlemek.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Faaliyetlerin yerel yönetimler, kamu politikası, sosyal politika, göç, kırsal kalkınma, sınır yönetimi, katılımcı yönetişim ve bölgesel kalkınma alanlarına katkısını değerlendirmek.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Stratejik Plan’ın toplumsal katkı hedeflerinin gerçekleşme durumunu düzenli olarak izlemek ve hedeflerden sapma görülen alanları raporlamak.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Bölümün toplumsal katkı performansını katılım düzeyi, faaliyet sayısı, paydaş çeşitliliği, yerel etki ve sürdürülebilirlik açısından değerlendirmek.</w:t>
            </w:r>
          </w:p>
          <w:p w:rsidR="00747AEA" w:rsidRPr="00967592" w:rsidRDefault="00747AEA" w:rsidP="00747AEA">
            <w:pPr>
              <w:spacing w:after="30"/>
              <w:ind w:left="360" w:hanging="200"/>
              <w:jc w:val="both"/>
              <w:rPr>
                <w:rFonts w:ascii="Palatino Linotype" w:hAnsi="Palatino Linotype" w:cs="Times New Roman"/>
                <w:b w:val="0"/>
              </w:rPr>
            </w:pPr>
            <w:r w:rsidRPr="00967592">
              <w:rPr>
                <w:rFonts w:ascii="Palatino Linotype" w:hAnsi="Palatino Linotype" w:cs="Times New Roman"/>
                <w:b w:val="0"/>
              </w:rPr>
              <w:t>● Toplumsal katkı süreçlerinde tespit edilen eksikliklere yönelik düzeltici ve geliştirici faaliyet önerileri hazırlamak.</w:t>
            </w:r>
          </w:p>
          <w:p w:rsidR="00093E44" w:rsidRPr="00967592" w:rsidRDefault="00747AEA" w:rsidP="00747AEA">
            <w:pPr>
              <w:spacing w:after="30"/>
              <w:ind w:left="360" w:hanging="200"/>
              <w:jc w:val="both"/>
              <w:rPr>
                <w:rFonts w:ascii="Palatino Linotype" w:hAnsi="Palatino Linotype" w:cs="Times New Roman"/>
              </w:rPr>
            </w:pPr>
            <w:r w:rsidRPr="00967592">
              <w:rPr>
                <w:rFonts w:ascii="Palatino Linotype" w:hAnsi="Palatino Linotype" w:cs="Times New Roman"/>
                <w:b w:val="0"/>
              </w:rPr>
              <w:t>● Toplumsal katkı verilerini bölümün kalite güvence, akreditasyon, stratejik plan izleme ve paydaş ilişkileri süreçlerinde kullanılmak üzere düzenli biçimde belgelemek ve arşivlemek.</w:t>
            </w:r>
          </w:p>
        </w:tc>
      </w:tr>
    </w:tbl>
    <w:p w:rsidR="00093E44" w:rsidRPr="00967592" w:rsidRDefault="00093E44" w:rsidP="00747AEA">
      <w:pPr>
        <w:spacing w:before="300"/>
        <w:jc w:val="both"/>
        <w:rPr>
          <w:rFonts w:ascii="Palatino Linotype" w:hAnsi="Palatino Linotype" w:cs="Times New Roman"/>
        </w:rPr>
      </w:pPr>
    </w:p>
    <w:tbl>
      <w:tblPr>
        <w:tblStyle w:val="KlavuzTablo1Ak-Vurgu1"/>
        <w:tblW w:w="9360" w:type="dxa"/>
        <w:tblLook w:val="04A0" w:firstRow="1" w:lastRow="0" w:firstColumn="1" w:lastColumn="0" w:noHBand="0" w:noVBand="1"/>
      </w:tblPr>
      <w:tblGrid>
        <w:gridCol w:w="3120"/>
        <w:gridCol w:w="3120"/>
        <w:gridCol w:w="3120"/>
      </w:tblGrid>
      <w:tr w:rsidR="00093E44" w:rsidRPr="00967592" w:rsidTr="00747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093E44" w:rsidRPr="00967592" w:rsidRDefault="00185098" w:rsidP="00747AEA">
            <w:pPr>
              <w:jc w:val="both"/>
              <w:rPr>
                <w:rFonts w:ascii="Palatino Linotype" w:hAnsi="Palatino Linotype" w:cs="Times New Roman"/>
              </w:rPr>
            </w:pPr>
            <w:r w:rsidRPr="00967592">
              <w:rPr>
                <w:rFonts w:ascii="Palatino Linotype" w:hAnsi="Palatino Linotype" w:cs="Times New Roman"/>
                <w:sz w:val="16"/>
                <w:szCs w:val="16"/>
              </w:rPr>
              <w:t>Hazırlayan (Komisyon Üyesi)</w:t>
            </w:r>
          </w:p>
        </w:tc>
        <w:tc>
          <w:tcPr>
            <w:tcW w:w="3120" w:type="dxa"/>
          </w:tcPr>
          <w:p w:rsidR="00093E44" w:rsidRPr="00967592" w:rsidRDefault="00185098" w:rsidP="00747AEA">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Kontrol Eden (Bölüm Başkan Yrd.)</w:t>
            </w:r>
          </w:p>
        </w:tc>
        <w:tc>
          <w:tcPr>
            <w:tcW w:w="3120" w:type="dxa"/>
          </w:tcPr>
          <w:p w:rsidR="00093E44" w:rsidRPr="00967592" w:rsidRDefault="00185098" w:rsidP="00747AEA">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Onaylayan (Bölüm Başkanı)</w:t>
            </w:r>
          </w:p>
        </w:tc>
      </w:tr>
      <w:tr w:rsidR="00747AEA" w:rsidRPr="00967592" w:rsidTr="00747AEA">
        <w:tc>
          <w:tcPr>
            <w:cnfStyle w:val="001000000000" w:firstRow="0" w:lastRow="0" w:firstColumn="1" w:lastColumn="0" w:oddVBand="0" w:evenVBand="0" w:oddHBand="0" w:evenHBand="0" w:firstRowFirstColumn="0" w:firstRowLastColumn="0" w:lastRowFirstColumn="0" w:lastRowLastColumn="0"/>
            <w:tcW w:w="3120" w:type="dxa"/>
          </w:tcPr>
          <w:p w:rsidR="00747AEA" w:rsidRPr="00967592" w:rsidRDefault="00747AEA" w:rsidP="00747AEA">
            <w:pPr>
              <w:spacing w:before="100" w:after="100"/>
              <w:jc w:val="both"/>
              <w:rPr>
                <w:rFonts w:ascii="Palatino Linotype" w:hAnsi="Palatino Linotype" w:cs="Times New Roman"/>
                <w:b w:val="0"/>
              </w:rPr>
            </w:pPr>
            <w:r w:rsidRPr="00967592">
              <w:rPr>
                <w:rFonts w:ascii="Palatino Linotype" w:hAnsi="Palatino Linotype" w:cs="Times New Roman"/>
                <w:b w:val="0"/>
                <w:sz w:val="16"/>
                <w:szCs w:val="16"/>
              </w:rPr>
              <w:t xml:space="preserve">Dr. </w:t>
            </w:r>
            <w:proofErr w:type="spellStart"/>
            <w:r w:rsidRPr="00967592">
              <w:rPr>
                <w:rFonts w:ascii="Palatino Linotype" w:hAnsi="Palatino Linotype" w:cs="Times New Roman"/>
                <w:b w:val="0"/>
                <w:sz w:val="16"/>
                <w:szCs w:val="16"/>
              </w:rPr>
              <w:t>Öğr</w:t>
            </w:r>
            <w:proofErr w:type="spellEnd"/>
            <w:r w:rsidRPr="00967592">
              <w:rPr>
                <w:rFonts w:ascii="Palatino Linotype" w:hAnsi="Palatino Linotype" w:cs="Times New Roman"/>
                <w:b w:val="0"/>
                <w:sz w:val="16"/>
                <w:szCs w:val="16"/>
              </w:rPr>
              <w:t>. Üyesi Aslıhan IĞDIR AKARAS</w:t>
            </w:r>
          </w:p>
        </w:tc>
        <w:tc>
          <w:tcPr>
            <w:tcW w:w="3120" w:type="dxa"/>
          </w:tcPr>
          <w:p w:rsidR="00747AEA" w:rsidRPr="00967592" w:rsidRDefault="00747AEA" w:rsidP="00747AEA">
            <w:pPr>
              <w:spacing w:after="10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967592">
              <w:rPr>
                <w:rFonts w:ascii="Palatino Linotype" w:hAnsi="Palatino Linotype" w:cs="Times New Roman"/>
                <w:sz w:val="16"/>
                <w:szCs w:val="16"/>
              </w:rPr>
              <w:t xml:space="preserve">Dr. </w:t>
            </w:r>
            <w:proofErr w:type="spellStart"/>
            <w:r w:rsidRPr="00967592">
              <w:rPr>
                <w:rFonts w:ascii="Palatino Linotype" w:hAnsi="Palatino Linotype" w:cs="Times New Roman"/>
                <w:sz w:val="16"/>
                <w:szCs w:val="16"/>
              </w:rPr>
              <w:t>Öğr</w:t>
            </w:r>
            <w:proofErr w:type="spellEnd"/>
            <w:r w:rsidRPr="00967592">
              <w:rPr>
                <w:rFonts w:ascii="Palatino Linotype" w:hAnsi="Palatino Linotype" w:cs="Times New Roman"/>
                <w:sz w:val="16"/>
                <w:szCs w:val="16"/>
              </w:rPr>
              <w:t>. Üyesi Aslıhan IĞDIR AKARAS</w:t>
            </w:r>
          </w:p>
          <w:p w:rsidR="00747AEA" w:rsidRPr="00967592" w:rsidRDefault="00747AEA" w:rsidP="00747AEA">
            <w:pPr>
              <w:spacing w:after="10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967592">
              <w:rPr>
                <w:rFonts w:ascii="Palatino Linotype" w:hAnsi="Palatino Linotype" w:cs="Times New Roman"/>
                <w:sz w:val="16"/>
                <w:szCs w:val="16"/>
              </w:rPr>
              <w:t xml:space="preserve">Dr. </w:t>
            </w:r>
            <w:proofErr w:type="spellStart"/>
            <w:r w:rsidRPr="00967592">
              <w:rPr>
                <w:rFonts w:ascii="Palatino Linotype" w:hAnsi="Palatino Linotype" w:cs="Times New Roman"/>
                <w:sz w:val="16"/>
                <w:szCs w:val="16"/>
              </w:rPr>
              <w:t>Öğr</w:t>
            </w:r>
            <w:proofErr w:type="spellEnd"/>
            <w:r w:rsidRPr="00967592">
              <w:rPr>
                <w:rFonts w:ascii="Palatino Linotype" w:hAnsi="Palatino Linotype" w:cs="Times New Roman"/>
                <w:sz w:val="16"/>
                <w:szCs w:val="16"/>
              </w:rPr>
              <w:t xml:space="preserve">. Üyesi </w:t>
            </w:r>
            <w:proofErr w:type="gramStart"/>
            <w:r w:rsidRPr="00967592">
              <w:rPr>
                <w:rFonts w:ascii="Palatino Linotype" w:hAnsi="Palatino Linotype" w:cs="Times New Roman"/>
                <w:sz w:val="16"/>
                <w:szCs w:val="16"/>
              </w:rPr>
              <w:t>Adem</w:t>
            </w:r>
            <w:proofErr w:type="gramEnd"/>
            <w:r w:rsidRPr="00967592">
              <w:rPr>
                <w:rFonts w:ascii="Palatino Linotype" w:hAnsi="Palatino Linotype" w:cs="Times New Roman"/>
                <w:sz w:val="16"/>
                <w:szCs w:val="16"/>
              </w:rPr>
              <w:t xml:space="preserve"> YILMAZ</w:t>
            </w:r>
          </w:p>
        </w:tc>
        <w:tc>
          <w:tcPr>
            <w:tcW w:w="3120" w:type="dxa"/>
          </w:tcPr>
          <w:p w:rsidR="00747AEA" w:rsidRPr="00967592" w:rsidRDefault="00747AEA" w:rsidP="00747AEA">
            <w:pPr>
              <w:spacing w:before="100" w:after="10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967592">
              <w:rPr>
                <w:rFonts w:ascii="Palatino Linotype" w:hAnsi="Palatino Linotype" w:cs="Times New Roman"/>
                <w:sz w:val="16"/>
                <w:szCs w:val="16"/>
              </w:rPr>
              <w:t>Prof. Dr. Recep GÜLŞEN</w:t>
            </w:r>
          </w:p>
        </w:tc>
      </w:tr>
      <w:bookmarkEnd w:id="0"/>
    </w:tbl>
    <w:p w:rsidR="00185098" w:rsidRPr="00967592" w:rsidRDefault="00185098" w:rsidP="00747AEA">
      <w:pPr>
        <w:jc w:val="both"/>
        <w:rPr>
          <w:rFonts w:ascii="Palatino Linotype" w:hAnsi="Palatino Linotype" w:cs="Times New Roman"/>
        </w:rPr>
      </w:pPr>
    </w:p>
    <w:sectPr w:rsidR="00185098" w:rsidRPr="009675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52838"/>
    <w:multiLevelType w:val="hybridMultilevel"/>
    <w:tmpl w:val="3028C0D8"/>
    <w:lvl w:ilvl="0" w:tplc="A1744A1E">
      <w:start w:val="1"/>
      <w:numFmt w:val="bullet"/>
      <w:lvlText w:val="●"/>
      <w:lvlJc w:val="left"/>
      <w:pPr>
        <w:ind w:left="720" w:hanging="360"/>
      </w:pPr>
    </w:lvl>
    <w:lvl w:ilvl="1" w:tplc="B5F2AE7E">
      <w:start w:val="1"/>
      <w:numFmt w:val="bullet"/>
      <w:lvlText w:val="○"/>
      <w:lvlJc w:val="left"/>
      <w:pPr>
        <w:ind w:left="1440" w:hanging="360"/>
      </w:pPr>
    </w:lvl>
    <w:lvl w:ilvl="2" w:tplc="C870E3B0">
      <w:start w:val="1"/>
      <w:numFmt w:val="bullet"/>
      <w:lvlText w:val="■"/>
      <w:lvlJc w:val="left"/>
      <w:pPr>
        <w:ind w:left="2160" w:hanging="360"/>
      </w:pPr>
    </w:lvl>
    <w:lvl w:ilvl="3" w:tplc="994C7786">
      <w:start w:val="1"/>
      <w:numFmt w:val="bullet"/>
      <w:lvlText w:val="●"/>
      <w:lvlJc w:val="left"/>
      <w:pPr>
        <w:ind w:left="2880" w:hanging="360"/>
      </w:pPr>
    </w:lvl>
    <w:lvl w:ilvl="4" w:tplc="CD385E94">
      <w:start w:val="1"/>
      <w:numFmt w:val="bullet"/>
      <w:lvlText w:val="○"/>
      <w:lvlJc w:val="left"/>
      <w:pPr>
        <w:ind w:left="3600" w:hanging="360"/>
      </w:pPr>
    </w:lvl>
    <w:lvl w:ilvl="5" w:tplc="ED520A52">
      <w:start w:val="1"/>
      <w:numFmt w:val="bullet"/>
      <w:lvlText w:val="■"/>
      <w:lvlJc w:val="left"/>
      <w:pPr>
        <w:ind w:left="4320" w:hanging="360"/>
      </w:pPr>
    </w:lvl>
    <w:lvl w:ilvl="6" w:tplc="5CA24DE2">
      <w:start w:val="1"/>
      <w:numFmt w:val="bullet"/>
      <w:lvlText w:val="●"/>
      <w:lvlJc w:val="left"/>
      <w:pPr>
        <w:ind w:left="5040" w:hanging="360"/>
      </w:pPr>
    </w:lvl>
    <w:lvl w:ilvl="7" w:tplc="4D26272A">
      <w:start w:val="1"/>
      <w:numFmt w:val="bullet"/>
      <w:lvlText w:val="●"/>
      <w:lvlJc w:val="left"/>
      <w:pPr>
        <w:ind w:left="5760" w:hanging="360"/>
      </w:pPr>
    </w:lvl>
    <w:lvl w:ilvl="8" w:tplc="E6B65AB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44"/>
    <w:rsid w:val="00093E44"/>
    <w:rsid w:val="00185098"/>
    <w:rsid w:val="00747AEA"/>
    <w:rsid w:val="00967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F405F-F694-4451-8F4D-7D233509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table" w:styleId="KlavuzTablo1Ak-Vurgu1">
    <w:name w:val="Grid Table 1 Light Accent 1"/>
    <w:basedOn w:val="NormalTablo"/>
    <w:uiPriority w:val="46"/>
    <w:rsid w:val="00747A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67384">
      <w:bodyDiv w:val="1"/>
      <w:marLeft w:val="0"/>
      <w:marRight w:val="0"/>
      <w:marTop w:val="0"/>
      <w:marBottom w:val="0"/>
      <w:divBdr>
        <w:top w:val="none" w:sz="0" w:space="0" w:color="auto"/>
        <w:left w:val="none" w:sz="0" w:space="0" w:color="auto"/>
        <w:bottom w:val="none" w:sz="0" w:space="0" w:color="auto"/>
        <w:right w:val="none" w:sz="0" w:space="0" w:color="auto"/>
      </w:divBdr>
    </w:div>
    <w:div w:id="1632397823">
      <w:bodyDiv w:val="1"/>
      <w:marLeft w:val="0"/>
      <w:marRight w:val="0"/>
      <w:marTop w:val="0"/>
      <w:marBottom w:val="0"/>
      <w:divBdr>
        <w:top w:val="none" w:sz="0" w:space="0" w:color="auto"/>
        <w:left w:val="none" w:sz="0" w:space="0" w:color="auto"/>
        <w:bottom w:val="none" w:sz="0" w:space="0" w:color="auto"/>
        <w:right w:val="none" w:sz="0" w:space="0" w:color="auto"/>
      </w:divBdr>
    </w:div>
    <w:div w:id="1879774291">
      <w:bodyDiv w:val="1"/>
      <w:marLeft w:val="0"/>
      <w:marRight w:val="0"/>
      <w:marTop w:val="0"/>
      <w:marBottom w:val="0"/>
      <w:divBdr>
        <w:top w:val="none" w:sz="0" w:space="0" w:color="auto"/>
        <w:left w:val="none" w:sz="0" w:space="0" w:color="auto"/>
        <w:bottom w:val="none" w:sz="0" w:space="0" w:color="auto"/>
        <w:right w:val="none" w:sz="0" w:space="0" w:color="auto"/>
      </w:divBdr>
    </w:div>
    <w:div w:id="2011249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6147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Mustafa</cp:lastModifiedBy>
  <cp:revision>3</cp:revision>
  <dcterms:created xsi:type="dcterms:W3CDTF">2026-05-17T08:42:00Z</dcterms:created>
  <dcterms:modified xsi:type="dcterms:W3CDTF">2026-05-20T15:51:00Z</dcterms:modified>
</cp:coreProperties>
</file>