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C6" w:rsidRPr="006940C6" w:rsidRDefault="006940C6" w:rsidP="006940C6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  <w:t>Siyaset Bilimi ve Kamu Yönetimi Bölümü Stratejik Planı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Misyon</w:t>
      </w:r>
    </w:p>
    <w:p w:rsidR="006940C6" w:rsidRPr="006940C6" w:rsidRDefault="006940C6" w:rsidP="006940C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 xml:space="preserve">Siyaset Bilimi ve Kamu Yönetimi Bölümü’nün </w:t>
      </w:r>
      <w:proofErr w:type="gramStart"/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>misyonu</w:t>
      </w:r>
      <w:proofErr w:type="gramEnd"/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>; siyasal kuram, siyasal düşünceler, siyaset felsefesi, kamu yönetimi, hukuk, kamu politikası, uluslararası ilişkiler ve toplumsal kuram alanlarında güçlü kuramsal ve uygulamalı bilgiye sahip; eleştirel düşünebilen, etik sorumluluk bilinci gelişmiş, kamu yararını gözeten, yerel, ulusal, bölgesel ve küresel gelişmeleri analiz edebilen nitelikli mezunlar yetiştirmektir.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Vizyon</w:t>
      </w:r>
    </w:p>
    <w:p w:rsidR="006940C6" w:rsidRPr="006940C6" w:rsidRDefault="006940C6" w:rsidP="006940C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 xml:space="preserve">Bölümün </w:t>
      </w:r>
      <w:proofErr w:type="gramStart"/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>vizyonu</w:t>
      </w:r>
      <w:proofErr w:type="gramEnd"/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>; siyaset bilimi ve kamu yönetimi alanında kuramsal derinliği, uygulama kapasitesi, araştırma üretkenliği, toplumsal katkı faaliyetleri, uluslararası yönelimi ve kalite güvence sistemiyle tanınan; mezunları kamu kurumları, yerel yönetimler, özel sektör, uluslararası kuruluşlar ve sivil toplum alanlarında etkin roller üstlenebilen saygın bir akademik program olmaktır.</w:t>
      </w:r>
    </w:p>
    <w:p w:rsidR="006940C6" w:rsidRPr="006940C6" w:rsidRDefault="006940C6" w:rsidP="006940C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Temel Değerler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2088"/>
        <w:gridCol w:w="6974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Değer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Açıklama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Bilimsellik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Eğitim-öğretim, araştırma ve değerlendirme süreçlerinde bilimsel yöntemleri esas almak.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Kamu Yararı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Siyasal ve yönetsel süreçleri toplum yararı, adalet ve sorumluluk ilkeleriyle değerlendirmek.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Etik Sorumluluk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Akademik, mesleki ve toplumsal faaliyetlerde etik ilkelere bağlı kalmak.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Eleştirel Düşünme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Siyasal, yönetsel ve toplumsal olguları sorgulayıcı biçimde değerlendirmek.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Katılımcılık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Öğrenci, mezun, akademik personel ve dış paydaş görüşlerini kalite süreçlerine dâhil etmek.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Sürekli İyileştirme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Eğitim, araştırma, toplumsal katkı ve idari süreçleri düzenli olarak izlemek ve geliştirmek.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proofErr w:type="spellStart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Uluslararasılaşma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Bölgesel ve küresel gelişmeleri programın eğitim, araştırma ve iş birliği süreçlerine yansıtmak.</w:t>
            </w:r>
          </w:p>
        </w:tc>
      </w:tr>
    </w:tbl>
    <w:p w:rsidR="006940C6" w:rsidRPr="006940C6" w:rsidRDefault="006940C6" w:rsidP="006940C6">
      <w:pPr>
        <w:spacing w:after="0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</w:p>
    <w:p w:rsidR="006940C6" w:rsidRDefault="006940C6" w:rsidP="006940C6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</w:pPr>
    </w:p>
    <w:p w:rsidR="006940C6" w:rsidRDefault="006940C6" w:rsidP="006940C6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</w:pPr>
    </w:p>
    <w:p w:rsidR="006940C6" w:rsidRDefault="006940C6" w:rsidP="006940C6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</w:pPr>
    </w:p>
    <w:p w:rsidR="006940C6" w:rsidRDefault="006940C6" w:rsidP="006940C6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</w:pPr>
    </w:p>
    <w:p w:rsidR="006940C6" w:rsidRDefault="006940C6" w:rsidP="006940C6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</w:pP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  <w:lastRenderedPageBreak/>
        <w:t>Stratejik Amaçlar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Stratejik Amaç 1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Eğitim-öğretim programını program amaçları, öğrenme çıktıları ve kalite güvence ilkeleriyle uyumlu biçimde geliştirmek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2560"/>
        <w:gridCol w:w="2013"/>
        <w:gridCol w:w="917"/>
        <w:gridCol w:w="1938"/>
        <w:gridCol w:w="1634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Performans Göstergesi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Değer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Kanıt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1.1 Program Eğitim Amaçlarını düzenli olarak gözden geçirmek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PEA değerlendirme toplantısı sayısı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Kalite ve Akreditasyon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Toplantı tutanağı, bölüm kurulu kararı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1.2 Program Öğrenme Çıktılarını ders planı ile ilişkilendirmek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PÖÇ–ders matrisi güncelleme oranı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%100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Eğitim-Öğretim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Güncel matris, ders bilgi paketleri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1.3 Ders içeriklerini öğrenme çıktılarıyla uyumlu hâle getirmek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Güncellenen ders bilgi paketi oranı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%100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Eğitim-Öğretim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Bologna ders bilgi paketleri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1.4 Müfredatı iç ve dış paydaş görüşleriyle değerlendirmek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Paydaş görüşü alınan toplantı/anket sayısı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2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Kalite ve Akreditasyon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Anket sonuçları, toplantı tutanakları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1.5 Ölçme-değerlendirme araçlarını öğrenme çıktılarıyla ilişkilendirmek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 temelli ölçme-değerlendirme formu oranı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%80 ve üzeri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Ölçme ve Değerlendirme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 xml:space="preserve">Sınav örnekleri, </w:t>
            </w:r>
            <w:proofErr w:type="spellStart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rubrikler</w:t>
            </w:r>
            <w:proofErr w:type="spellEnd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, analiz raporları</w:t>
            </w:r>
          </w:p>
        </w:tc>
      </w:tr>
    </w:tbl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Stratejik Amaç 2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Öğrenci merkezli, ölçülebilir ve kanıta dayalı bir öğrenme süreci oluşturmak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2426"/>
        <w:gridCol w:w="1740"/>
        <w:gridCol w:w="948"/>
        <w:gridCol w:w="2086"/>
        <w:gridCol w:w="1862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Performans Göstergesi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Değer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Kanıt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2.1 Öğrenci memnuniyetini düzenli olarak ölçmek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Öğrenci memnuniyet anketi uygulama sıklığı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Her dönem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Öğrenci Kalite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Anket sonuçları, değerlendirme raporu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 xml:space="preserve">Hedef 2.2 Ders </w:t>
            </w:r>
            <w:proofErr w:type="gramStart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bazlı</w:t>
            </w:r>
            <w:proofErr w:type="gramEnd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 xml:space="preserve"> öğrenme çıktısı gerçekleşme düzeylerini izlemek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 gerçekleşme raporu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Ölçme ve Değerlendirme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PÖÇ analiz raporu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lastRenderedPageBreak/>
              <w:t>Hedef 2.3 Akademik danışmanlık sistemini güçlendirmek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Danışman-öğrenci görüşme kayıt oranı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%80 ve üzeri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Rehberlik ve Uyum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Görüşme formları, danışmanlık raporları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2.4 Yeni öğrencilerin uyum sürecini desteklemek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Oryantasyon etkinliği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Rehberlik ve Uyum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Etkinlik programı, katılım listesi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 xml:space="preserve">Hedef 2.5 Özel </w:t>
            </w:r>
            <w:proofErr w:type="spellStart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gereksinimli</w:t>
            </w:r>
            <w:proofErr w:type="spellEnd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 xml:space="preserve"> öğrenciler için destek mekanizmalarını izlemek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İhtiyaç tespit ve destek raporu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Her dönem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 xml:space="preserve">Özel </w:t>
            </w:r>
            <w:proofErr w:type="spellStart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Gereksinimli</w:t>
            </w:r>
            <w:proofErr w:type="spellEnd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 xml:space="preserve"> Öğrenci Koordinatörlüğü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Destek raporları, ilgili yazışmalar</w:t>
            </w:r>
          </w:p>
        </w:tc>
      </w:tr>
    </w:tbl>
    <w:p w:rsidR="006940C6" w:rsidRPr="006940C6" w:rsidRDefault="006940C6" w:rsidP="006940C6">
      <w:pPr>
        <w:spacing w:after="0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Stratejik Amaç 3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Siyasal kuram, kamu yönetimi, uluslararası ilişkiler ve güncel politika alanlarında akademik niteliği güçlendirmek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2166"/>
        <w:gridCol w:w="2571"/>
        <w:gridCol w:w="1324"/>
        <w:gridCol w:w="1532"/>
        <w:gridCol w:w="1469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Performans Göstergesi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Değer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Kanıt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3.1 Bölümün siyasal kuram, siyasal düşünceler ve siyaset felsefesi kimliğini güçlendirmek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Kuramsal içerikli ders/etkinlik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2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Bilimsel ve Sosyal Etkinlikler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Etkinlik afişi, katılım listesi, ders izlenceleri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3.2 Uluslararası ilişkiler, güvenlik, istihbarat ve bölgesel çalışmalar alanlarını görünür kılmak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Bu alanlarda düzenlenen etkinlik veya ders içi uygulama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Bilimsel ve Sosyal Etkinlikler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Etkinlik raporu, ders içi uygulama örnekleri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3.3 Öğrencilerin akademik araştırma becerilerini geliştirmek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Öğrenci araştırma/proje/rapor çalışması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Her dönem en az 1 uygulama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Eğitim-Öğretim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Öğrenci proje örnekleri, ders raporları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3.4 Öğrencilerin güncel siyasal ve yönetsel sorunları analiz etmesini desteklemek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Güncel olay analizi içeren ders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En az 5 ders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Bölüm Başkanlığı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Ders izlenceleri, ödev örnekleri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lastRenderedPageBreak/>
              <w:t>Hedef 3.5 Akademik personelin bilimsel üretkenliğini izlemek ve desteklemek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Yayın, bildiri, proje, kitap/kitap bölümü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Yıllık izleme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Akademik Teşvik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Akademik faaliyet raporu</w:t>
            </w:r>
          </w:p>
        </w:tc>
      </w:tr>
    </w:tbl>
    <w:p w:rsidR="006940C6" w:rsidRPr="006940C6" w:rsidRDefault="006940C6" w:rsidP="006940C6">
      <w:pPr>
        <w:spacing w:after="0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Stratejik Amaç 4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Paydaş katılımını, mezun izlemeyi ve dış çevreyle etkileşimi güçlendirmek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2622"/>
        <w:gridCol w:w="2114"/>
        <w:gridCol w:w="923"/>
        <w:gridCol w:w="1808"/>
        <w:gridCol w:w="1595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Performans Göstergesi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Değer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Kanıt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4.1 Mezunlarla düzenli iletişim kurmak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Mezun veri tabanı güncelleme sıklığı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Mezunlarla İletişim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Mezun veri tabanı, iletişim kayıtları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4.2 Mezun geri bildirimlerini program iyileştirmesinde kullanmak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Mezun anketi uygulama sıklığı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Mezunlarla İletişim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Anket sonuçları, iyileştirme kararları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4.3 Dış paydaş görüşlerini almak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Dış paydaş toplantısı sayısı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Kalite ve Akreditasyon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Toplantı tutanağı, görüş formları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4.4 Kamu kurumları, yerel yönetimler ve STK’larla iş birliğini artırmak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İş birliği/etkinlik sayısı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2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Toplumsal Katkı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Protokol, etkinlik raporu, yazışmalar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4.5 Mezunların kariyer gelişimini izlemek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Mezun istihdam/kariyer izleme raporu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Mezunlarla İletişim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Mezun izleme raporu</w:t>
            </w:r>
          </w:p>
        </w:tc>
      </w:tr>
    </w:tbl>
    <w:p w:rsidR="006940C6" w:rsidRPr="006940C6" w:rsidRDefault="006940C6" w:rsidP="006940C6">
      <w:pPr>
        <w:spacing w:after="0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Stratejik Amaç 5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Toplumsal katkı, sosyal sorumluluk ve yerel-bölgesel etkileşimi geliştirmek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2725"/>
        <w:gridCol w:w="1780"/>
        <w:gridCol w:w="1082"/>
        <w:gridCol w:w="1677"/>
        <w:gridCol w:w="1798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Performans Göstergesi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Değer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Kanıt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5.1 Toplumsal katkı faaliyetlerini planlamak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Yıllık toplumsal katkı planı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1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Toplumsal Katkı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Faaliyet planı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lastRenderedPageBreak/>
              <w:t>Hedef 5.2 Öğrencilerin sosyal sorumluluk faaliyetlerine katılımını artırmak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Katılan öğrenci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Yıllık artış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Sosyal Transkript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Katılım belgeleri, sosyal transkript kayıtları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5.3 Yerel yönetimler ve kamu kurumlarıyla ortak etkinlikler düzenlemek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Ortak etkinlik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Toplumsal Katkı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Etkinlik raporu, protokol, davet yazıları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5.4 Öğrencilerin sosyal transkript süreçlerini desteklemek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Sosyal transkripte işlenen faaliyet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Yıllık izleme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Sosyal Transkript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Sosyal transkript kayıtları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5.5 Bölümün topluma dönük görünürlüğünü artırmak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Web/sosyal medya duyurusu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Her etkinlik için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Web ve Sosyal Medya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Web duyuruları, sosyal medya çıktıları</w:t>
            </w:r>
          </w:p>
        </w:tc>
      </w:tr>
    </w:tbl>
    <w:p w:rsidR="006940C6" w:rsidRPr="006940C6" w:rsidRDefault="006940C6" w:rsidP="006940C6">
      <w:pPr>
        <w:spacing w:after="0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Stratejik Amaç 6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proofErr w:type="spellStart"/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Uluslararasılaşma</w:t>
      </w:r>
      <w:proofErr w:type="spellEnd"/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, değişim programları ve bölgesel/küresel farkındalığı artırmak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2340"/>
        <w:gridCol w:w="1690"/>
        <w:gridCol w:w="898"/>
        <w:gridCol w:w="2737"/>
        <w:gridCol w:w="1397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Performans Göstergesi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Değer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Kanıt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6.1 Değişim programları hakkında bilgilendirme yapmak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Bilgilendirme toplantısı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proofErr w:type="spellStart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Erasmus</w:t>
            </w:r>
            <w:proofErr w:type="spellEnd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/Farabi/Mevlana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Toplantı afişi, katılım listesi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6.2 Öğrenci hareketliliğini desteklemek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Başvuran öğrenci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Yıllık artış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proofErr w:type="spellStart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Erasmus</w:t>
            </w:r>
            <w:proofErr w:type="spellEnd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/Farabi/Mevlana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Başvuru kayıtları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6.3 Uluslararası ilişkiler, güvenlik, istihbarat ve bölgesel çalışmalar alanlarında akademik içerik üretmek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Etkinlik/ders içi uygulama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Eğitim-Öğretim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Ders izlenceleri, etkinlik raporları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 xml:space="preserve">Hedef 6.4 Öğrencilerin yabancı dil ve uluslararası </w:t>
            </w:r>
            <w:proofErr w:type="gramStart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literatür</w:t>
            </w:r>
            <w:proofErr w:type="gramEnd"/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 xml:space="preserve"> takip becerilerini desteklemek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Yabancı kaynak kullanılan ders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Yıllık izleme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Eğitim-Öğretim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Ders kaynak listeleri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lastRenderedPageBreak/>
              <w:t>Hedef 6.5 Bölümün uluslararası görünürlüğünü artırmak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İngilizce web içeriği güncelleme sayısı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Web ve Sosyal Medya Komisyonu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Web sayfası çıktıları</w:t>
            </w:r>
          </w:p>
        </w:tc>
      </w:tr>
    </w:tbl>
    <w:p w:rsidR="006940C6" w:rsidRPr="006940C6" w:rsidRDefault="006940C6" w:rsidP="006940C6">
      <w:pPr>
        <w:spacing w:after="0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Stratejik Amaç 7</w:t>
      </w: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szCs w:val="24"/>
          <w:lang w:eastAsia="tr-TR"/>
        </w:rPr>
        <w:t>Kalite güvencesi ve sürekli iyileştirme kültürünü kurumsallaştırmak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2069"/>
        <w:gridCol w:w="2073"/>
        <w:gridCol w:w="1306"/>
        <w:gridCol w:w="1715"/>
        <w:gridCol w:w="1899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jc w:val="center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Performans Göstergesi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Değer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Sorumlu Birim / Komisyon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Kanıt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7.1 Bölüm kalite süreçlerini yıllık olarak izlemek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Yıllık kalite değerlendirme raporu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1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Kalite ve Akreditasyon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Bölüm kalite raporu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7.2 Komisyon faaliyetlerini düzenli olarak raporlamak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Komisyon faaliyet raporu sayısı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Her komisyon için yılda 1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Tüm Komisyonlar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Komisyon raporları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7.3 İyileştirme kararlarını izlemek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Gerçekleşen iyileştirme faaliyeti sayısı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Yıllık izleme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Sürekli İyileştirme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İyileştirme takip çizelgesi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7.4 İç değerlendirme süreçlerini yürütmek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Öz değerlendirme toplantısı sayısı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Yılda en az 1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Kalite ve Akreditasyon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Öz değerlendirme raporu, toplantı tutanakları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Hedef 7.5 Kanıt temelli dosyalama sistemini güçlendirmek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Dijital/kurumsal kanıt dosyası güncelleme sıklığı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Her dönem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Kalite ve Akreditasyon Komisyonu</w:t>
            </w:r>
          </w:p>
        </w:tc>
        <w:tc>
          <w:tcPr>
            <w:tcW w:w="0" w:type="auto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Kanıt klasörleri, arşiv kayıtları</w:t>
            </w:r>
          </w:p>
        </w:tc>
      </w:tr>
    </w:tbl>
    <w:p w:rsidR="006940C6" w:rsidRPr="006940C6" w:rsidRDefault="006940C6" w:rsidP="006940C6">
      <w:pPr>
        <w:spacing w:after="0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  <w:t>İzleme ve Değerlendirme Mekanizması</w:t>
      </w:r>
    </w:p>
    <w:p w:rsidR="006940C6" w:rsidRPr="006940C6" w:rsidRDefault="006940C6" w:rsidP="006940C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 xml:space="preserve">Bölüm stratejik planı yıllık olarak izlenir ve değerlendirilir. Her akademik </w:t>
      </w:r>
      <w:proofErr w:type="gramStart"/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>yıl sonunda</w:t>
      </w:r>
      <w:proofErr w:type="gramEnd"/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 xml:space="preserve"> ilgili komisyonlardan faaliyet raporları alınır. Program Eğitim Amaçları, Program Öğrenme Çıktıları, ders bilgi paketleri, öğrenci geri bildirimleri, mezun görüşleri, dış paydaş değerlendirmeleri, akademik faaliyetler ve toplumsal katkı çalışmaları birlikte değerlendirilir.</w:t>
      </w:r>
    </w:p>
    <w:p w:rsidR="006940C6" w:rsidRPr="006940C6" w:rsidRDefault="006940C6" w:rsidP="006940C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>Değerlendirme sonucunda güçlü yönler, gelişmeye açık alanlar ve iyileştirme önerileri belirlenir. Alınan kararlar Bölüm Kurulu gündemine taşınır ve bir sonraki akademik yılın faaliyet planına yansıtılır.</w:t>
      </w:r>
    </w:p>
    <w:p w:rsidR="006940C6" w:rsidRPr="006940C6" w:rsidRDefault="006940C6" w:rsidP="006940C6">
      <w:pPr>
        <w:spacing w:after="0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</w:p>
    <w:p w:rsidR="006940C6" w:rsidRPr="006940C6" w:rsidRDefault="006940C6" w:rsidP="006940C6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b/>
          <w:bCs/>
          <w:kern w:val="36"/>
          <w:szCs w:val="24"/>
          <w:lang w:eastAsia="tr-TR"/>
        </w:rPr>
        <w:t>Sürekli İyileştirme Döngüsü</w:t>
      </w:r>
    </w:p>
    <w:p w:rsidR="006940C6" w:rsidRPr="006940C6" w:rsidRDefault="006940C6" w:rsidP="006940C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Cs w:val="24"/>
          <w:lang w:eastAsia="tr-TR"/>
        </w:rPr>
      </w:pPr>
      <w:r w:rsidRPr="006940C6">
        <w:rPr>
          <w:rFonts w:ascii="Palatino Linotype" w:eastAsia="Times New Roman" w:hAnsi="Palatino Linotype" w:cs="Times New Roman"/>
          <w:szCs w:val="24"/>
          <w:lang w:eastAsia="tr-TR"/>
        </w:rPr>
        <w:t>Bölüm stratejik planı aşağıdaki döngüye göre işletilir:</w:t>
      </w: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1744"/>
        <w:gridCol w:w="7318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İşleyiş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Planlama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Program amaçları, öğrenme çıktıları, ders içerikleri, hedefler ve performans göstergeleri belirlenir.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Uygulama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Eğitim-öğretim, danışmanlık, etkinlik, paydaş katılımı, toplumsal katkı ve kalite faaliyetleri yürütülür.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İzleme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Öğrenci, mezun, paydaş, ders, etkinlik ve komisyon verileri toplanır.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Değerlendirme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Toplanan veriler analiz edilir; hedef gerçekleşme düzeyleri belirlenir.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İyileştirme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Cs w:val="24"/>
                <w:lang w:eastAsia="tr-TR"/>
              </w:rPr>
              <w:t>Eksiklikler için karar alınır, sorumlular belirlenir ve sonraki dönem planına aktarılır.</w:t>
            </w:r>
          </w:p>
        </w:tc>
      </w:tr>
    </w:tbl>
    <w:p w:rsidR="005941BB" w:rsidRDefault="006940C6">
      <w:pPr>
        <w:rPr>
          <w:rFonts w:ascii="Palatino Linotype" w:hAnsi="Palatino Linotype"/>
          <w:szCs w:val="24"/>
        </w:rPr>
      </w:pPr>
    </w:p>
    <w:p w:rsidR="006940C6" w:rsidRDefault="006940C6">
      <w:pPr>
        <w:rPr>
          <w:rFonts w:ascii="Palatino Linotype" w:hAnsi="Palatino Linotype"/>
          <w:szCs w:val="24"/>
        </w:rPr>
      </w:pP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5135"/>
        <w:gridCol w:w="1590"/>
        <w:gridCol w:w="2337"/>
      </w:tblGrid>
      <w:tr w:rsidR="006940C6" w:rsidRPr="006940C6" w:rsidTr="0069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Stratejik Amaç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İlgili PEA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İlgili PÖÇ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Amaç 1: Eğitim-öğretim programını kalite güvence ilkeleriyle geliştirmek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PEA-1, PEA-4, PEA-7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PÖÇ-1, PÖÇ-2, PÖÇ-10, PÖÇ-15, PÖÇ-16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Amaç 2: Öğrenci merkezli, ölçülebilir öğrenme süreci oluşturmak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PEA-5, PEA-7, PEA-8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PÖÇ-15, PÖÇ-16, PÖÇ-17, PÖÇ-18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Amaç 3: Siyasal kuram, kamu yönetimi, uluslararası ilişkiler ve güncel politika alanlarında akademik niteliği güçlendirmek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PEA-1, PEA-2, PEA-4, PEA-6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PÖÇ-1, PÖÇ-2, PÖÇ-3, PÖÇ-4, PÖÇ-5, PÖÇ-10, PÖÇ-14, PÖÇ-16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Amaç 4: Paydaş katılımını, mezun izlemeyi ve dış çevreyle etkileşimi güçlendirmek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PEA-3, PEA-5, PEA-7, PEA-8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PÖÇ-13, PÖÇ-16, PÖÇ-17, PÖÇ-18</w:t>
            </w:r>
          </w:p>
        </w:tc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Amaç 5: Toplumsal katkı, sosyal sorumluluk ve yerel-bölgesel etkileşimi geliştirmek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PEA-5, PEA-6, PEA-8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PÖÇ-5, PÖÇ-13, PÖÇ-14, PÖÇ-18</w:t>
            </w:r>
          </w:p>
        </w:tc>
      </w:tr>
      <w:tr w:rsidR="006940C6" w:rsidRPr="006940C6" w:rsidTr="006940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 xml:space="preserve">Amaç 6: </w:t>
            </w:r>
            <w:proofErr w:type="spellStart"/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Uluslararasılaşma</w:t>
            </w:r>
            <w:proofErr w:type="spellEnd"/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, değişim programları ve bölgesel/küresel farkındalığı artırmak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PEA-1, PEA-3, PEA-4, PEA-6, PEA-8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PÖÇ-1, PÖÇ-3, PÖÇ-4, PÖÇ-6, PÖÇ-8, PÖÇ-11, PÖÇ-14, PÖÇ-16</w:t>
            </w:r>
          </w:p>
        </w:tc>
        <w:bookmarkStart w:id="0" w:name="_GoBack"/>
        <w:bookmarkEnd w:id="0"/>
      </w:tr>
      <w:tr w:rsidR="006940C6" w:rsidRPr="006940C6" w:rsidTr="0069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940C6" w:rsidRPr="006940C6" w:rsidRDefault="006940C6" w:rsidP="006940C6">
            <w:pPr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Amaç 7: Kalite güvencesi ve sürekli iyileştirme kültürünü kurumsallaştırmak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PEA-4, PEA-5, PEA-7, PEA-8</w:t>
            </w:r>
          </w:p>
        </w:tc>
        <w:tc>
          <w:tcPr>
            <w:tcW w:w="0" w:type="auto"/>
            <w:vAlign w:val="center"/>
            <w:hideMark/>
          </w:tcPr>
          <w:p w:rsidR="006940C6" w:rsidRPr="006940C6" w:rsidRDefault="006940C6" w:rsidP="00694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</w:pPr>
            <w:r w:rsidRPr="006940C6">
              <w:rPr>
                <w:rFonts w:ascii="Palatino Linotype" w:eastAsia="Times New Roman" w:hAnsi="Palatino Linotype" w:cs="Times New Roman"/>
                <w:sz w:val="24"/>
                <w:szCs w:val="24"/>
                <w:lang w:eastAsia="tr-TR"/>
              </w:rPr>
              <w:t>PÖÇ-15, PÖÇ-16, PÖÇ-17, PÖÇ-18</w:t>
            </w:r>
          </w:p>
        </w:tc>
      </w:tr>
    </w:tbl>
    <w:p w:rsidR="006940C6" w:rsidRPr="006940C6" w:rsidRDefault="006940C6">
      <w:pPr>
        <w:rPr>
          <w:rFonts w:ascii="Palatino Linotype" w:hAnsi="Palatino Linotype"/>
          <w:szCs w:val="24"/>
        </w:rPr>
      </w:pPr>
    </w:p>
    <w:sectPr w:rsidR="006940C6" w:rsidRPr="0069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C6"/>
    <w:rsid w:val="00152A7B"/>
    <w:rsid w:val="006940C6"/>
    <w:rsid w:val="00D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C88B"/>
  <w15:chartTrackingRefBased/>
  <w15:docId w15:val="{C93F8F78-E670-431B-A6EE-B2B9A3CB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94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94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40C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940C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940C6"/>
    <w:rPr>
      <w:b/>
      <w:bCs/>
    </w:rPr>
  </w:style>
  <w:style w:type="table" w:styleId="KlavuzTablo5Koyu-Vurgu5">
    <w:name w:val="Grid Table 5 Dark Accent 5"/>
    <w:basedOn w:val="NormalTablo"/>
    <w:uiPriority w:val="50"/>
    <w:rsid w:val="006940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KlavuzTablo5Koyu-Vurgu1">
    <w:name w:val="Grid Table 5 Dark Accent 1"/>
    <w:basedOn w:val="NormalTablo"/>
    <w:uiPriority w:val="50"/>
    <w:rsid w:val="006940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SIFIR</dc:creator>
  <cp:keywords/>
  <dc:description/>
  <cp:lastModifiedBy>LENOVO SIFIR</cp:lastModifiedBy>
  <cp:revision>1</cp:revision>
  <dcterms:created xsi:type="dcterms:W3CDTF">2026-05-20T07:07:00Z</dcterms:created>
  <dcterms:modified xsi:type="dcterms:W3CDTF">2026-05-20T07:14:00Z</dcterms:modified>
</cp:coreProperties>
</file>